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43FCB" w14:textId="77777777" w:rsidR="00767033" w:rsidRPr="00767033" w:rsidRDefault="00767033" w:rsidP="00767033">
      <w:pPr>
        <w:ind w:firstLine="360"/>
        <w:outlineLvl w:val="0"/>
        <w:rPr>
          <w:rFonts w:cs="Arial"/>
          <w:b/>
          <w:u w:val="single"/>
        </w:rPr>
      </w:pPr>
      <w:bookmarkStart w:id="0" w:name="_Toc40949457"/>
      <w:bookmarkStart w:id="1" w:name="_Toc42094616"/>
      <w:bookmarkStart w:id="2" w:name="_Toc44574856"/>
      <w:r w:rsidRPr="00767033">
        <w:rPr>
          <w:rFonts w:cs="Arial"/>
          <w:b/>
          <w:u w:val="single"/>
        </w:rPr>
        <w:t>405-2</w:t>
      </w:r>
      <w:r w:rsidRPr="00767033">
        <w:rPr>
          <w:rFonts w:cs="Arial"/>
          <w:b/>
          <w:u w:val="single"/>
        </w:rPr>
        <w:tab/>
      </w:r>
      <w:r w:rsidRPr="00767033">
        <w:rPr>
          <w:rFonts w:cs="Arial"/>
          <w:b/>
          <w:u w:val="single"/>
        </w:rPr>
        <w:tab/>
        <w:t>Cold Recycling Mixture Design (Revised 10-24-19)</w:t>
      </w:r>
      <w:bookmarkEnd w:id="0"/>
      <w:bookmarkEnd w:id="1"/>
      <w:bookmarkEnd w:id="2"/>
    </w:p>
    <w:p w14:paraId="4D6017E0" w14:textId="77777777" w:rsidR="00767033" w:rsidRPr="00767033" w:rsidRDefault="00767033" w:rsidP="00B17917">
      <w:pPr>
        <w:pStyle w:val="1BidStyleLevel1"/>
      </w:pPr>
      <w:r w:rsidRPr="00767033">
        <w:t>COLD RECYCLING MIXTURE DESIGN [405] (REVISED 10-24-19)</w:t>
      </w:r>
    </w:p>
    <w:p w14:paraId="7A80D100" w14:textId="77777777" w:rsidR="00767033" w:rsidRPr="00767033" w:rsidRDefault="00767033" w:rsidP="00B17917">
      <w:pPr>
        <w:pStyle w:val="2BidStyleA"/>
      </w:pPr>
      <w:r w:rsidRPr="00767033">
        <w:t>Description.  This procedure is used to determine the asphalt emulsion content for cold recycled plant mix surfacing.  Use this procedure when specifying cold recycling - engineered emulsion (CIR-EE).</w:t>
      </w:r>
    </w:p>
    <w:p w14:paraId="3ADEEB08" w14:textId="77777777" w:rsidR="00767033" w:rsidRPr="00767033" w:rsidRDefault="00767033" w:rsidP="00B17917">
      <w:pPr>
        <w:pStyle w:val="2BidStyleA"/>
        <w:rPr>
          <w:bCs/>
        </w:rPr>
      </w:pPr>
      <w:r w:rsidRPr="00767033">
        <w:t>Mixture Design.  Submit a mix design for approval 10 business days before starting the cold recycling operation.  Perform the mixture design in accordance with this special provision.  Use asphalt emulsion meeting the requirements presented in Table 405-2.  Ensure the job mix formula meets Table 405-3 requirements at the design asphalt emulsion content.</w:t>
      </w:r>
      <w:r w:rsidRPr="00767033">
        <w:cr/>
      </w:r>
    </w:p>
    <w:p w14:paraId="14EB5977" w14:textId="77777777" w:rsidR="00767033" w:rsidRPr="00767033" w:rsidRDefault="00767033" w:rsidP="00767033">
      <w:pPr>
        <w:keepNext/>
        <w:keepLines/>
        <w:jc w:val="center"/>
        <w:rPr>
          <w:rFonts w:cs="Arial"/>
          <w:bCs/>
        </w:rPr>
      </w:pPr>
      <w:r w:rsidRPr="00767033">
        <w:rPr>
          <w:rFonts w:cs="Arial"/>
          <w:bCs/>
        </w:rPr>
        <w:t>TABLE 405-3</w:t>
      </w:r>
    </w:p>
    <w:p w14:paraId="23D3EF9E" w14:textId="77777777" w:rsidR="00767033" w:rsidRPr="00767033" w:rsidRDefault="00767033" w:rsidP="00767033">
      <w:pPr>
        <w:keepNext/>
        <w:keepLines/>
        <w:jc w:val="center"/>
        <w:rPr>
          <w:rFonts w:cs="Arial"/>
          <w:bCs/>
        </w:rPr>
      </w:pPr>
      <w:r w:rsidRPr="00767033">
        <w:rPr>
          <w:rFonts w:cs="Arial"/>
          <w:bCs/>
        </w:rPr>
        <w:t>JOB MIX FORMULA CRITERIA</w:t>
      </w:r>
    </w:p>
    <w:tbl>
      <w:tblPr>
        <w:tblStyle w:val="TableGrid13"/>
        <w:tblW w:w="0" w:type="auto"/>
        <w:jc w:val="center"/>
        <w:tblLook w:val="01E0" w:firstRow="1" w:lastRow="1" w:firstColumn="1" w:lastColumn="1" w:noHBand="0" w:noVBand="0"/>
      </w:tblPr>
      <w:tblGrid>
        <w:gridCol w:w="4225"/>
        <w:gridCol w:w="1679"/>
        <w:gridCol w:w="2101"/>
      </w:tblGrid>
      <w:tr w:rsidR="00767033" w:rsidRPr="00767033" w14:paraId="57C933A8" w14:textId="77777777" w:rsidTr="00002D0D">
        <w:trPr>
          <w:jc w:val="center"/>
        </w:trPr>
        <w:tc>
          <w:tcPr>
            <w:tcW w:w="4225" w:type="dxa"/>
            <w:shd w:val="clear" w:color="auto" w:fill="D9D9D9" w:themeFill="background1" w:themeFillShade="D9"/>
            <w:vAlign w:val="center"/>
          </w:tcPr>
          <w:p w14:paraId="149C3B85" w14:textId="77777777" w:rsidR="00767033" w:rsidRPr="00767033" w:rsidRDefault="00767033" w:rsidP="00767033">
            <w:pPr>
              <w:keepNext/>
              <w:keepLines/>
              <w:jc w:val="center"/>
              <w:rPr>
                <w:rFonts w:cs="Arial"/>
                <w:bCs/>
              </w:rPr>
            </w:pPr>
            <w:r w:rsidRPr="00767033">
              <w:rPr>
                <w:rFonts w:cs="Arial"/>
                <w:bCs/>
              </w:rPr>
              <w:t>Property</w:t>
            </w:r>
          </w:p>
        </w:tc>
        <w:tc>
          <w:tcPr>
            <w:tcW w:w="1679" w:type="dxa"/>
            <w:shd w:val="clear" w:color="auto" w:fill="D9D9D9" w:themeFill="background1" w:themeFillShade="D9"/>
            <w:vAlign w:val="center"/>
          </w:tcPr>
          <w:p w14:paraId="48A41CDB" w14:textId="77777777" w:rsidR="00767033" w:rsidRPr="00767033" w:rsidRDefault="00767033" w:rsidP="00767033">
            <w:pPr>
              <w:keepNext/>
              <w:keepLines/>
              <w:jc w:val="center"/>
              <w:rPr>
                <w:rFonts w:cs="Arial"/>
                <w:bCs/>
              </w:rPr>
            </w:pPr>
            <w:r w:rsidRPr="00767033">
              <w:rPr>
                <w:rFonts w:cs="Arial"/>
                <w:bCs/>
              </w:rPr>
              <w:t>Criteria</w:t>
            </w:r>
          </w:p>
        </w:tc>
        <w:tc>
          <w:tcPr>
            <w:tcW w:w="2101" w:type="dxa"/>
            <w:shd w:val="clear" w:color="auto" w:fill="D9D9D9" w:themeFill="background1" w:themeFillShade="D9"/>
            <w:vAlign w:val="center"/>
          </w:tcPr>
          <w:p w14:paraId="5AF3D898" w14:textId="77777777" w:rsidR="00767033" w:rsidRPr="00767033" w:rsidRDefault="00767033" w:rsidP="00767033">
            <w:pPr>
              <w:keepNext/>
              <w:keepLines/>
              <w:jc w:val="center"/>
              <w:rPr>
                <w:rFonts w:cs="Arial"/>
                <w:bCs/>
              </w:rPr>
            </w:pPr>
            <w:r w:rsidRPr="00767033">
              <w:rPr>
                <w:rFonts w:cs="Arial"/>
                <w:bCs/>
              </w:rPr>
              <w:t>Purpose</w:t>
            </w:r>
          </w:p>
        </w:tc>
      </w:tr>
      <w:tr w:rsidR="00767033" w:rsidRPr="00767033" w14:paraId="0DEFF3AE" w14:textId="77777777" w:rsidTr="00002D0D">
        <w:trPr>
          <w:jc w:val="center"/>
        </w:trPr>
        <w:tc>
          <w:tcPr>
            <w:tcW w:w="4225" w:type="dxa"/>
            <w:vAlign w:val="center"/>
          </w:tcPr>
          <w:p w14:paraId="5CCF9835" w14:textId="77777777" w:rsidR="00767033" w:rsidRPr="00767033" w:rsidRDefault="00767033" w:rsidP="00767033">
            <w:pPr>
              <w:keepNext/>
              <w:keepLines/>
              <w:rPr>
                <w:rFonts w:cs="Arial"/>
              </w:rPr>
            </w:pPr>
            <w:r w:rsidRPr="00767033">
              <w:rPr>
                <w:rFonts w:cs="Arial"/>
              </w:rPr>
              <w:t xml:space="preserve">Compaction effort, Superpave </w:t>
            </w:r>
            <w:r w:rsidRPr="00767033">
              <w:rPr>
                <w:rFonts w:cs="Arial"/>
              </w:rPr>
              <w:br/>
              <w:t xml:space="preserve">Gyratory Compactor </w:t>
            </w:r>
          </w:p>
          <w:p w14:paraId="230F23D7" w14:textId="77777777" w:rsidR="00767033" w:rsidRPr="00767033" w:rsidRDefault="00767033" w:rsidP="00767033">
            <w:pPr>
              <w:keepNext/>
              <w:keepLines/>
              <w:rPr>
                <w:rFonts w:cs="Arial"/>
              </w:rPr>
            </w:pPr>
            <w:r w:rsidRPr="00767033">
              <w:rPr>
                <w:rFonts w:cs="Arial"/>
              </w:rPr>
              <w:t>4” (100 mm) diameter specimens</w:t>
            </w:r>
          </w:p>
        </w:tc>
        <w:tc>
          <w:tcPr>
            <w:tcW w:w="1679" w:type="dxa"/>
            <w:vAlign w:val="center"/>
          </w:tcPr>
          <w:p w14:paraId="16DEA8E1" w14:textId="77777777" w:rsidR="00767033" w:rsidRPr="00767033" w:rsidRDefault="00767033" w:rsidP="00767033">
            <w:pPr>
              <w:keepNext/>
              <w:keepLines/>
              <w:rPr>
                <w:rFonts w:cs="Arial"/>
              </w:rPr>
            </w:pPr>
            <w:r w:rsidRPr="00767033">
              <w:rPr>
                <w:rFonts w:cs="Arial"/>
              </w:rPr>
              <w:t xml:space="preserve">1.25° angle, </w:t>
            </w:r>
            <w:r w:rsidRPr="00767033">
              <w:rPr>
                <w:rFonts w:cs="Arial"/>
              </w:rPr>
              <w:br/>
              <w:t xml:space="preserve">87 psi (600 kPa) stress, </w:t>
            </w:r>
            <w:r w:rsidRPr="00767033">
              <w:rPr>
                <w:rFonts w:cs="Arial"/>
              </w:rPr>
              <w:br/>
              <w:t>30 gyrations</w:t>
            </w:r>
          </w:p>
        </w:tc>
        <w:tc>
          <w:tcPr>
            <w:tcW w:w="2101" w:type="dxa"/>
            <w:vAlign w:val="center"/>
          </w:tcPr>
          <w:p w14:paraId="770174EF" w14:textId="77777777" w:rsidR="00767033" w:rsidRPr="00767033" w:rsidRDefault="00767033" w:rsidP="00767033">
            <w:pPr>
              <w:keepNext/>
              <w:keepLines/>
              <w:rPr>
                <w:rFonts w:cs="Arial"/>
              </w:rPr>
            </w:pPr>
            <w:r w:rsidRPr="00767033">
              <w:rPr>
                <w:rFonts w:cs="Arial"/>
              </w:rPr>
              <w:t>Density Indicator</w:t>
            </w:r>
          </w:p>
        </w:tc>
      </w:tr>
      <w:tr w:rsidR="00767033" w:rsidRPr="00767033" w14:paraId="652E55F9" w14:textId="77777777" w:rsidTr="00002D0D">
        <w:trPr>
          <w:jc w:val="center"/>
        </w:trPr>
        <w:tc>
          <w:tcPr>
            <w:tcW w:w="4225" w:type="dxa"/>
            <w:vAlign w:val="center"/>
          </w:tcPr>
          <w:p w14:paraId="4964219E" w14:textId="77777777" w:rsidR="00767033" w:rsidRPr="00767033" w:rsidRDefault="00767033" w:rsidP="00767033">
            <w:pPr>
              <w:keepNext/>
              <w:keepLines/>
              <w:rPr>
                <w:rFonts w:cs="Arial"/>
              </w:rPr>
            </w:pPr>
            <w:r w:rsidRPr="00767033">
              <w:rPr>
                <w:rFonts w:cs="Arial"/>
              </w:rPr>
              <w:t>Density, MT 314</w:t>
            </w:r>
          </w:p>
        </w:tc>
        <w:tc>
          <w:tcPr>
            <w:tcW w:w="1679" w:type="dxa"/>
            <w:vAlign w:val="center"/>
          </w:tcPr>
          <w:p w14:paraId="216A8836" w14:textId="77777777" w:rsidR="00767033" w:rsidRPr="00767033" w:rsidRDefault="00767033" w:rsidP="00767033">
            <w:pPr>
              <w:keepNext/>
              <w:keepLines/>
              <w:rPr>
                <w:rFonts w:cs="Arial"/>
              </w:rPr>
            </w:pPr>
            <w:r w:rsidRPr="00767033">
              <w:rPr>
                <w:rFonts w:cs="Arial"/>
              </w:rPr>
              <w:t>Report</w:t>
            </w:r>
          </w:p>
        </w:tc>
        <w:tc>
          <w:tcPr>
            <w:tcW w:w="2101" w:type="dxa"/>
            <w:tcBorders>
              <w:bottom w:val="single" w:sz="4" w:space="0" w:color="auto"/>
            </w:tcBorders>
            <w:vAlign w:val="center"/>
          </w:tcPr>
          <w:p w14:paraId="0EF842FB" w14:textId="77777777" w:rsidR="00767033" w:rsidRPr="00767033" w:rsidRDefault="00767033" w:rsidP="00767033">
            <w:pPr>
              <w:keepNext/>
              <w:keepLines/>
              <w:rPr>
                <w:rFonts w:cs="Arial"/>
              </w:rPr>
            </w:pPr>
            <w:r w:rsidRPr="00767033">
              <w:rPr>
                <w:rFonts w:cs="Arial"/>
              </w:rPr>
              <w:t>Compaction Indicator</w:t>
            </w:r>
          </w:p>
        </w:tc>
      </w:tr>
      <w:tr w:rsidR="00767033" w:rsidRPr="00767033" w14:paraId="45A84A64" w14:textId="77777777" w:rsidTr="00002D0D">
        <w:trPr>
          <w:jc w:val="center"/>
        </w:trPr>
        <w:tc>
          <w:tcPr>
            <w:tcW w:w="4225" w:type="dxa"/>
            <w:vAlign w:val="center"/>
          </w:tcPr>
          <w:p w14:paraId="3DA5138A" w14:textId="77777777" w:rsidR="00767033" w:rsidRPr="00767033" w:rsidRDefault="00767033" w:rsidP="00767033">
            <w:pPr>
              <w:keepNext/>
              <w:keepLines/>
              <w:rPr>
                <w:rFonts w:cs="Arial"/>
              </w:rPr>
            </w:pPr>
            <w:r w:rsidRPr="00767033">
              <w:rPr>
                <w:rFonts w:cs="Arial"/>
              </w:rPr>
              <w:t>Gradation for Design Millings, AASHTO T 11</w:t>
            </w:r>
          </w:p>
        </w:tc>
        <w:tc>
          <w:tcPr>
            <w:tcW w:w="1679" w:type="dxa"/>
            <w:vAlign w:val="center"/>
          </w:tcPr>
          <w:p w14:paraId="00EB660F" w14:textId="77777777" w:rsidR="00767033" w:rsidRPr="00767033" w:rsidRDefault="00767033" w:rsidP="00767033">
            <w:pPr>
              <w:keepNext/>
              <w:keepLines/>
              <w:rPr>
                <w:rFonts w:cs="Arial"/>
              </w:rPr>
            </w:pPr>
            <w:r w:rsidRPr="00767033">
              <w:rPr>
                <w:rFonts w:cs="Arial"/>
              </w:rPr>
              <w:t>Report</w:t>
            </w:r>
          </w:p>
        </w:tc>
        <w:tc>
          <w:tcPr>
            <w:tcW w:w="2101" w:type="dxa"/>
            <w:shd w:val="thinDiagCross" w:color="auto" w:fill="auto"/>
            <w:vAlign w:val="center"/>
          </w:tcPr>
          <w:p w14:paraId="61B70784" w14:textId="77777777" w:rsidR="00767033" w:rsidRPr="00767033" w:rsidRDefault="00767033" w:rsidP="00767033">
            <w:pPr>
              <w:keepNext/>
              <w:keepLines/>
              <w:rPr>
                <w:rFonts w:cs="Arial"/>
              </w:rPr>
            </w:pPr>
          </w:p>
        </w:tc>
      </w:tr>
      <w:tr w:rsidR="00767033" w:rsidRPr="00767033" w14:paraId="624ECB34" w14:textId="77777777" w:rsidTr="00002D0D">
        <w:trPr>
          <w:jc w:val="center"/>
        </w:trPr>
        <w:tc>
          <w:tcPr>
            <w:tcW w:w="4225" w:type="dxa"/>
            <w:vAlign w:val="center"/>
          </w:tcPr>
          <w:p w14:paraId="643AB1CC" w14:textId="77777777" w:rsidR="00767033" w:rsidRPr="00767033" w:rsidRDefault="00767033" w:rsidP="00767033">
            <w:pPr>
              <w:keepNext/>
              <w:keepLines/>
              <w:rPr>
                <w:rFonts w:cs="Arial"/>
              </w:rPr>
            </w:pPr>
            <w:r w:rsidRPr="00767033">
              <w:rPr>
                <w:rFonts w:cs="Arial"/>
              </w:rPr>
              <w:t>Marshall stability, AASHTO T 124</w:t>
            </w:r>
          </w:p>
        </w:tc>
        <w:tc>
          <w:tcPr>
            <w:tcW w:w="1679" w:type="dxa"/>
            <w:vAlign w:val="center"/>
          </w:tcPr>
          <w:p w14:paraId="3AC3C649" w14:textId="77777777" w:rsidR="00767033" w:rsidRPr="00767033" w:rsidRDefault="00767033" w:rsidP="00767033">
            <w:pPr>
              <w:keepNext/>
              <w:keepLines/>
              <w:rPr>
                <w:rFonts w:cs="Arial"/>
              </w:rPr>
            </w:pPr>
            <w:r w:rsidRPr="00767033">
              <w:rPr>
                <w:rFonts w:cs="Arial"/>
              </w:rPr>
              <w:t xml:space="preserve">1,250-pound </w:t>
            </w:r>
            <w:r w:rsidRPr="00767033">
              <w:rPr>
                <w:rFonts w:cs="Arial"/>
              </w:rPr>
              <w:br/>
              <w:t xml:space="preserve">(6.7 </w:t>
            </w:r>
            <w:proofErr w:type="spellStart"/>
            <w:r w:rsidRPr="00767033">
              <w:rPr>
                <w:rFonts w:cs="Arial"/>
              </w:rPr>
              <w:t>kN</w:t>
            </w:r>
            <w:proofErr w:type="spellEnd"/>
            <w:r w:rsidRPr="00767033">
              <w:rPr>
                <w:rFonts w:cs="Arial"/>
              </w:rPr>
              <w:t>) minimum</w:t>
            </w:r>
          </w:p>
        </w:tc>
        <w:tc>
          <w:tcPr>
            <w:tcW w:w="2101" w:type="dxa"/>
            <w:vAlign w:val="center"/>
          </w:tcPr>
          <w:p w14:paraId="039ABCEF" w14:textId="77777777" w:rsidR="00767033" w:rsidRPr="00767033" w:rsidRDefault="00767033" w:rsidP="00767033">
            <w:pPr>
              <w:keepNext/>
              <w:keepLines/>
              <w:rPr>
                <w:rFonts w:cs="Arial"/>
              </w:rPr>
            </w:pPr>
            <w:r w:rsidRPr="00767033">
              <w:rPr>
                <w:rFonts w:cs="Arial"/>
              </w:rPr>
              <w:t>Strength Indicator</w:t>
            </w:r>
          </w:p>
        </w:tc>
      </w:tr>
      <w:tr w:rsidR="00767033" w:rsidRPr="00767033" w14:paraId="3DE22378" w14:textId="77777777" w:rsidTr="00002D0D">
        <w:trPr>
          <w:jc w:val="center"/>
        </w:trPr>
        <w:tc>
          <w:tcPr>
            <w:tcW w:w="4225" w:type="dxa"/>
            <w:vAlign w:val="center"/>
          </w:tcPr>
          <w:p w14:paraId="03D67471" w14:textId="77777777" w:rsidR="00767033" w:rsidRPr="00767033" w:rsidRDefault="00767033" w:rsidP="00767033">
            <w:pPr>
              <w:keepNext/>
              <w:keepLines/>
              <w:rPr>
                <w:rFonts w:cs="Arial"/>
              </w:rPr>
            </w:pPr>
            <w:r w:rsidRPr="00767033">
              <w:rPr>
                <w:rFonts w:cs="Arial"/>
              </w:rPr>
              <w:t>Retained stability based on cured stability, AASHTO T 283, modified in Part f)</w:t>
            </w:r>
          </w:p>
        </w:tc>
        <w:tc>
          <w:tcPr>
            <w:tcW w:w="1679" w:type="dxa"/>
            <w:vAlign w:val="center"/>
          </w:tcPr>
          <w:p w14:paraId="553DD1C4" w14:textId="77777777" w:rsidR="00767033" w:rsidRPr="00767033" w:rsidRDefault="00767033" w:rsidP="00767033">
            <w:pPr>
              <w:keepNext/>
              <w:keepLines/>
              <w:rPr>
                <w:rFonts w:cs="Arial"/>
              </w:rPr>
            </w:pPr>
            <w:r w:rsidRPr="00767033">
              <w:rPr>
                <w:rFonts w:cs="Arial"/>
              </w:rPr>
              <w:t>70% minimum</w:t>
            </w:r>
          </w:p>
        </w:tc>
        <w:tc>
          <w:tcPr>
            <w:tcW w:w="2101" w:type="dxa"/>
            <w:vAlign w:val="center"/>
          </w:tcPr>
          <w:p w14:paraId="3FA52751" w14:textId="77777777" w:rsidR="00767033" w:rsidRPr="00767033" w:rsidRDefault="00767033" w:rsidP="00767033">
            <w:pPr>
              <w:keepNext/>
              <w:keepLines/>
              <w:rPr>
                <w:rFonts w:cs="Arial"/>
              </w:rPr>
            </w:pPr>
            <w:r w:rsidRPr="00767033">
              <w:rPr>
                <w:rFonts w:cs="Arial"/>
              </w:rPr>
              <w:t>Moisture susceptibility</w:t>
            </w:r>
          </w:p>
        </w:tc>
      </w:tr>
      <w:tr w:rsidR="00767033" w:rsidRPr="00767033" w14:paraId="0674B29A" w14:textId="77777777" w:rsidTr="00002D0D">
        <w:trPr>
          <w:jc w:val="center"/>
        </w:trPr>
        <w:tc>
          <w:tcPr>
            <w:tcW w:w="4225" w:type="dxa"/>
            <w:vAlign w:val="center"/>
          </w:tcPr>
          <w:p w14:paraId="277792A7" w14:textId="77777777" w:rsidR="00767033" w:rsidRPr="00767033" w:rsidRDefault="00767033" w:rsidP="00767033">
            <w:pPr>
              <w:keepNext/>
              <w:keepLines/>
              <w:rPr>
                <w:rFonts w:cs="Arial"/>
              </w:rPr>
            </w:pPr>
            <w:r w:rsidRPr="00767033">
              <w:rPr>
                <w:rFonts w:cs="Arial"/>
              </w:rPr>
              <w:t>Indirect Tensile Test, AASHTO T 322, Modified in Part g)</w:t>
            </w:r>
          </w:p>
        </w:tc>
        <w:tc>
          <w:tcPr>
            <w:tcW w:w="1679" w:type="dxa"/>
            <w:vAlign w:val="center"/>
          </w:tcPr>
          <w:p w14:paraId="3141E543" w14:textId="77777777" w:rsidR="00767033" w:rsidRPr="00767033" w:rsidRDefault="00767033" w:rsidP="00767033">
            <w:pPr>
              <w:keepNext/>
              <w:keepLines/>
              <w:rPr>
                <w:rFonts w:cs="Arial"/>
              </w:rPr>
            </w:pPr>
            <w:r w:rsidRPr="00767033">
              <w:rPr>
                <w:rFonts w:cs="Arial"/>
              </w:rPr>
              <w:t xml:space="preserve">Critical Cracking Temperature is </w:t>
            </w:r>
            <w:r w:rsidRPr="00767033">
              <w:rPr>
                <w:rFonts w:cs="Arial"/>
              </w:rPr>
              <w:br/>
              <w:t xml:space="preserve">-24 </w:t>
            </w:r>
            <w:proofErr w:type="gramStart"/>
            <w:r w:rsidRPr="00767033">
              <w:rPr>
                <w:rFonts w:cs="Arial"/>
              </w:rPr>
              <w:t>ºF(</w:t>
            </w:r>
            <w:proofErr w:type="gramEnd"/>
            <w:r w:rsidRPr="00767033">
              <w:rPr>
                <w:rFonts w:cs="Arial"/>
              </w:rPr>
              <w:t>-31 ºC).</w:t>
            </w:r>
          </w:p>
        </w:tc>
        <w:tc>
          <w:tcPr>
            <w:tcW w:w="2101" w:type="dxa"/>
            <w:vAlign w:val="center"/>
          </w:tcPr>
          <w:p w14:paraId="480517F3" w14:textId="77777777" w:rsidR="00767033" w:rsidRPr="00767033" w:rsidRDefault="00767033" w:rsidP="00767033">
            <w:pPr>
              <w:keepNext/>
              <w:keepLines/>
              <w:rPr>
                <w:rFonts w:cs="Arial"/>
              </w:rPr>
            </w:pPr>
            <w:r w:rsidRPr="00767033">
              <w:rPr>
                <w:rFonts w:cs="Arial"/>
              </w:rPr>
              <w:t>Thermal Cracking</w:t>
            </w:r>
          </w:p>
        </w:tc>
      </w:tr>
      <w:tr w:rsidR="00767033" w:rsidRPr="00767033" w14:paraId="4FAA0421" w14:textId="77777777" w:rsidTr="00002D0D">
        <w:trPr>
          <w:jc w:val="center"/>
        </w:trPr>
        <w:tc>
          <w:tcPr>
            <w:tcW w:w="4225" w:type="dxa"/>
            <w:vAlign w:val="center"/>
          </w:tcPr>
          <w:p w14:paraId="45F471F2" w14:textId="77777777" w:rsidR="00767033" w:rsidRPr="00767033" w:rsidRDefault="00767033" w:rsidP="00767033">
            <w:pPr>
              <w:keepNext/>
              <w:keepLines/>
              <w:rPr>
                <w:rFonts w:cs="Arial"/>
              </w:rPr>
            </w:pPr>
            <w:r w:rsidRPr="00767033">
              <w:rPr>
                <w:rFonts w:cs="Arial"/>
              </w:rPr>
              <w:t xml:space="preserve">Raveling Test, ASTM D 7196, Ambient or 50 </w:t>
            </w:r>
            <w:r w:rsidRPr="00767033">
              <w:rPr>
                <w:rFonts w:cs="Arial"/>
                <w:vertAlign w:val="superscript"/>
              </w:rPr>
              <w:t>0</w:t>
            </w:r>
            <w:r w:rsidRPr="00767033">
              <w:rPr>
                <w:rFonts w:cs="Arial"/>
              </w:rPr>
              <w:t>F (10 ºC)</w:t>
            </w:r>
          </w:p>
        </w:tc>
        <w:tc>
          <w:tcPr>
            <w:tcW w:w="1679" w:type="dxa"/>
            <w:vAlign w:val="center"/>
          </w:tcPr>
          <w:p w14:paraId="4DC42D00" w14:textId="77777777" w:rsidR="00767033" w:rsidRPr="00767033" w:rsidRDefault="00767033" w:rsidP="00767033">
            <w:pPr>
              <w:keepNext/>
              <w:keepLines/>
              <w:rPr>
                <w:rFonts w:cs="Arial"/>
              </w:rPr>
            </w:pPr>
            <w:r w:rsidRPr="00767033">
              <w:rPr>
                <w:rFonts w:cs="Arial"/>
              </w:rPr>
              <w:t>2% maximum</w:t>
            </w:r>
          </w:p>
        </w:tc>
        <w:tc>
          <w:tcPr>
            <w:tcW w:w="2101" w:type="dxa"/>
            <w:vAlign w:val="center"/>
          </w:tcPr>
          <w:p w14:paraId="79FF3BE7" w14:textId="77777777" w:rsidR="00767033" w:rsidRPr="00767033" w:rsidRDefault="00767033" w:rsidP="00767033">
            <w:pPr>
              <w:keepNext/>
              <w:keepLines/>
              <w:rPr>
                <w:rFonts w:cs="Arial"/>
              </w:rPr>
            </w:pPr>
            <w:r w:rsidRPr="00767033">
              <w:rPr>
                <w:rFonts w:cs="Arial"/>
              </w:rPr>
              <w:t>Raveling Resistance</w:t>
            </w:r>
          </w:p>
        </w:tc>
      </w:tr>
    </w:tbl>
    <w:p w14:paraId="486D3F87" w14:textId="77777777" w:rsidR="00767033" w:rsidRPr="00767033" w:rsidRDefault="00767033" w:rsidP="00767033">
      <w:pPr>
        <w:rPr>
          <w:rFonts w:cs="Arial"/>
        </w:rPr>
      </w:pPr>
    </w:p>
    <w:p w14:paraId="222AFA35" w14:textId="77777777" w:rsidR="00767033" w:rsidRPr="00767033" w:rsidRDefault="00767033" w:rsidP="00B17917">
      <w:pPr>
        <w:pStyle w:val="3BidStyle1"/>
      </w:pPr>
      <w:r w:rsidRPr="00767033">
        <w:t>Sampling and Processing.  Collect cores from the area to be recycled.  If cores show significant differences over the project length, such as different types of plant mix surfacing, perform separate mix designs for each of these pavement segments.  Take cores at regular intervals within the project limits, calculated as follows:</w:t>
      </w:r>
    </w:p>
    <w:p w14:paraId="65CD86C3" w14:textId="77777777" w:rsidR="00767033" w:rsidRPr="00767033" w:rsidRDefault="00767033" w:rsidP="00B17917">
      <w:pPr>
        <w:pStyle w:val="BodyTextFirstIndent"/>
      </w:pPr>
      <w:r w:rsidRPr="00767033">
        <w:t>Core Interval, ft. (m) = (Length of Project, ft. (m))</w:t>
      </w:r>
      <w:proofErr w:type="gramStart"/>
      <w:r w:rsidRPr="00767033">
        <w:t>/(</w:t>
      </w:r>
      <w:proofErr w:type="gramEnd"/>
      <w:r w:rsidRPr="00767033">
        <w:t>No. of Cores needed for Mix Design).</w:t>
      </w:r>
    </w:p>
    <w:p w14:paraId="18B7D9EF" w14:textId="77777777" w:rsidR="00767033" w:rsidRPr="00767033" w:rsidRDefault="00767033" w:rsidP="00B17917">
      <w:pPr>
        <w:pStyle w:val="BodyTextFirstIndent"/>
      </w:pPr>
      <w:r w:rsidRPr="00767033">
        <w:t>Use only the portion of the core that will be recycled for the mix design.  Crush cores in the laboratory.  Perform a mixture design for each gradation shown in Table 405-4, for a total of two mixture designs.</w:t>
      </w:r>
    </w:p>
    <w:p w14:paraId="6030594C" w14:textId="77777777" w:rsidR="00767033" w:rsidRPr="00767033" w:rsidRDefault="00767033" w:rsidP="00767033">
      <w:pPr>
        <w:keepNext/>
        <w:keepLines/>
        <w:jc w:val="center"/>
        <w:rPr>
          <w:rFonts w:cs="Arial"/>
          <w:bCs/>
        </w:rPr>
      </w:pPr>
      <w:r w:rsidRPr="00767033">
        <w:rPr>
          <w:rFonts w:cs="Arial"/>
          <w:bCs/>
        </w:rPr>
        <w:t>Table 405-4</w:t>
      </w:r>
    </w:p>
    <w:p w14:paraId="39DEB0A5" w14:textId="77777777" w:rsidR="00767033" w:rsidRPr="00767033" w:rsidRDefault="00767033" w:rsidP="00767033">
      <w:pPr>
        <w:keepNext/>
        <w:keepLines/>
        <w:jc w:val="center"/>
        <w:rPr>
          <w:rFonts w:cs="Arial"/>
          <w:bCs/>
        </w:rPr>
      </w:pPr>
      <w:r w:rsidRPr="00767033">
        <w:rPr>
          <w:rFonts w:cs="Arial"/>
          <w:bCs/>
        </w:rPr>
        <w:t>Mix Design Gradation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170"/>
        <w:gridCol w:w="1440"/>
      </w:tblGrid>
      <w:tr w:rsidR="00767033" w:rsidRPr="00767033" w14:paraId="2B092D4B" w14:textId="77777777" w:rsidTr="00002D0D">
        <w:trPr>
          <w:trHeight w:val="330"/>
          <w:jc w:val="center"/>
        </w:trPr>
        <w:tc>
          <w:tcPr>
            <w:tcW w:w="2235" w:type="dxa"/>
            <w:vMerge w:val="restart"/>
            <w:tcBorders>
              <w:top w:val="double" w:sz="4" w:space="0" w:color="auto"/>
              <w:left w:val="double" w:sz="4" w:space="0" w:color="auto"/>
            </w:tcBorders>
            <w:shd w:val="clear" w:color="auto" w:fill="D9D9D9" w:themeFill="background1" w:themeFillShade="D9"/>
            <w:vAlign w:val="center"/>
          </w:tcPr>
          <w:p w14:paraId="2F2B8355" w14:textId="77777777" w:rsidR="00767033" w:rsidRPr="00767033" w:rsidRDefault="00767033" w:rsidP="00767033">
            <w:pPr>
              <w:keepNext/>
              <w:keepLines/>
              <w:jc w:val="center"/>
              <w:rPr>
                <w:rFonts w:cs="Arial"/>
                <w:bCs/>
              </w:rPr>
            </w:pPr>
            <w:r w:rsidRPr="00767033">
              <w:rPr>
                <w:rFonts w:cs="Arial"/>
                <w:bCs/>
              </w:rPr>
              <w:t>Sieve</w:t>
            </w:r>
          </w:p>
        </w:tc>
        <w:tc>
          <w:tcPr>
            <w:tcW w:w="1170" w:type="dxa"/>
            <w:tcBorders>
              <w:top w:val="double" w:sz="4" w:space="0" w:color="auto"/>
            </w:tcBorders>
            <w:shd w:val="clear" w:color="auto" w:fill="D9D9D9" w:themeFill="background1" w:themeFillShade="D9"/>
            <w:vAlign w:val="center"/>
          </w:tcPr>
          <w:p w14:paraId="335A221B" w14:textId="77777777" w:rsidR="00767033" w:rsidRPr="00767033" w:rsidRDefault="00767033" w:rsidP="00767033">
            <w:pPr>
              <w:keepNext/>
              <w:keepLines/>
              <w:ind w:hanging="14"/>
              <w:jc w:val="center"/>
              <w:rPr>
                <w:rFonts w:cs="Arial"/>
                <w:bCs/>
              </w:rPr>
            </w:pPr>
            <w:r w:rsidRPr="00767033">
              <w:rPr>
                <w:rFonts w:cs="Arial"/>
                <w:bCs/>
              </w:rPr>
              <w:t>Medium</w:t>
            </w:r>
          </w:p>
        </w:tc>
        <w:tc>
          <w:tcPr>
            <w:tcW w:w="1440" w:type="dxa"/>
            <w:tcBorders>
              <w:top w:val="double" w:sz="4" w:space="0" w:color="auto"/>
              <w:right w:val="double" w:sz="4" w:space="0" w:color="auto"/>
            </w:tcBorders>
            <w:shd w:val="clear" w:color="auto" w:fill="D9D9D9" w:themeFill="background1" w:themeFillShade="D9"/>
            <w:vAlign w:val="center"/>
          </w:tcPr>
          <w:p w14:paraId="23DB3190" w14:textId="77777777" w:rsidR="00767033" w:rsidRPr="00767033" w:rsidRDefault="00767033" w:rsidP="00767033">
            <w:pPr>
              <w:keepNext/>
              <w:keepLines/>
              <w:ind w:hanging="29"/>
              <w:jc w:val="center"/>
              <w:rPr>
                <w:rFonts w:cs="Arial"/>
                <w:bCs/>
              </w:rPr>
            </w:pPr>
            <w:r w:rsidRPr="00767033">
              <w:rPr>
                <w:rFonts w:cs="Arial"/>
                <w:bCs/>
              </w:rPr>
              <w:t>Coarse</w:t>
            </w:r>
          </w:p>
        </w:tc>
      </w:tr>
      <w:tr w:rsidR="00767033" w:rsidRPr="00767033" w14:paraId="1690E5DA" w14:textId="77777777" w:rsidTr="00002D0D">
        <w:trPr>
          <w:trHeight w:val="165"/>
          <w:jc w:val="center"/>
        </w:trPr>
        <w:tc>
          <w:tcPr>
            <w:tcW w:w="2235" w:type="dxa"/>
            <w:vMerge/>
            <w:tcBorders>
              <w:left w:val="double" w:sz="4" w:space="0" w:color="auto"/>
              <w:bottom w:val="double" w:sz="4" w:space="0" w:color="auto"/>
            </w:tcBorders>
            <w:shd w:val="clear" w:color="auto" w:fill="D9D9D9" w:themeFill="background1" w:themeFillShade="D9"/>
            <w:vAlign w:val="center"/>
          </w:tcPr>
          <w:p w14:paraId="1A1B50C5" w14:textId="77777777" w:rsidR="00767033" w:rsidRPr="00767033" w:rsidRDefault="00767033" w:rsidP="00767033">
            <w:pPr>
              <w:keepNext/>
              <w:keepLines/>
              <w:jc w:val="center"/>
              <w:rPr>
                <w:rFonts w:cs="Arial"/>
                <w:bCs/>
              </w:rPr>
            </w:pPr>
          </w:p>
        </w:tc>
        <w:tc>
          <w:tcPr>
            <w:tcW w:w="2610" w:type="dxa"/>
            <w:gridSpan w:val="2"/>
            <w:tcBorders>
              <w:bottom w:val="double" w:sz="4" w:space="0" w:color="auto"/>
              <w:right w:val="double" w:sz="4" w:space="0" w:color="auto"/>
            </w:tcBorders>
            <w:shd w:val="clear" w:color="auto" w:fill="D9D9D9" w:themeFill="background1" w:themeFillShade="D9"/>
            <w:vAlign w:val="center"/>
          </w:tcPr>
          <w:p w14:paraId="24F643B9" w14:textId="77777777" w:rsidR="00767033" w:rsidRPr="00767033" w:rsidRDefault="00767033" w:rsidP="00767033">
            <w:pPr>
              <w:keepNext/>
              <w:keepLines/>
              <w:ind w:hanging="14"/>
              <w:jc w:val="center"/>
              <w:rPr>
                <w:rFonts w:cs="Arial"/>
                <w:bCs/>
              </w:rPr>
            </w:pPr>
            <w:r w:rsidRPr="00767033">
              <w:rPr>
                <w:rFonts w:cs="Arial"/>
                <w:bCs/>
              </w:rPr>
              <w:t>Percent Passing</w:t>
            </w:r>
          </w:p>
        </w:tc>
      </w:tr>
      <w:tr w:rsidR="00767033" w:rsidRPr="00767033" w14:paraId="4F1F19D5" w14:textId="77777777" w:rsidTr="00002D0D">
        <w:trPr>
          <w:trHeight w:val="125"/>
          <w:jc w:val="center"/>
        </w:trPr>
        <w:tc>
          <w:tcPr>
            <w:tcW w:w="2235" w:type="dxa"/>
            <w:tcBorders>
              <w:top w:val="double" w:sz="4" w:space="0" w:color="auto"/>
            </w:tcBorders>
            <w:shd w:val="clear" w:color="auto" w:fill="auto"/>
            <w:vAlign w:val="center"/>
          </w:tcPr>
          <w:p w14:paraId="4FCEA746" w14:textId="77777777" w:rsidR="00767033" w:rsidRPr="00767033" w:rsidRDefault="00767033" w:rsidP="00767033">
            <w:pPr>
              <w:keepNext/>
              <w:keepLines/>
              <w:rPr>
                <w:rFonts w:cs="Arial"/>
              </w:rPr>
            </w:pPr>
            <w:r w:rsidRPr="00767033">
              <w:rPr>
                <w:rFonts w:cs="Arial"/>
              </w:rPr>
              <w:t>1.25-inch (31.5 mm)</w:t>
            </w:r>
          </w:p>
        </w:tc>
        <w:tc>
          <w:tcPr>
            <w:tcW w:w="1170" w:type="dxa"/>
            <w:tcBorders>
              <w:top w:val="double" w:sz="4" w:space="0" w:color="auto"/>
            </w:tcBorders>
            <w:shd w:val="clear" w:color="auto" w:fill="auto"/>
            <w:vAlign w:val="center"/>
          </w:tcPr>
          <w:p w14:paraId="45F4026B" w14:textId="77777777" w:rsidR="00767033" w:rsidRPr="00767033" w:rsidRDefault="00767033" w:rsidP="00767033">
            <w:pPr>
              <w:keepNext/>
              <w:keepLines/>
              <w:ind w:hanging="14"/>
              <w:rPr>
                <w:rFonts w:cs="Arial"/>
              </w:rPr>
            </w:pPr>
            <w:r w:rsidRPr="00767033">
              <w:rPr>
                <w:rFonts w:cs="Arial"/>
              </w:rPr>
              <w:t>100</w:t>
            </w:r>
          </w:p>
        </w:tc>
        <w:tc>
          <w:tcPr>
            <w:tcW w:w="1440" w:type="dxa"/>
            <w:tcBorders>
              <w:top w:val="double" w:sz="4" w:space="0" w:color="auto"/>
            </w:tcBorders>
            <w:shd w:val="clear" w:color="auto" w:fill="auto"/>
            <w:vAlign w:val="center"/>
          </w:tcPr>
          <w:p w14:paraId="3D0DA27B" w14:textId="77777777" w:rsidR="00767033" w:rsidRPr="00767033" w:rsidRDefault="00767033" w:rsidP="00767033">
            <w:pPr>
              <w:keepNext/>
              <w:keepLines/>
              <w:rPr>
                <w:rFonts w:cs="Arial"/>
              </w:rPr>
            </w:pPr>
            <w:r w:rsidRPr="00767033">
              <w:rPr>
                <w:rFonts w:cs="Arial"/>
              </w:rPr>
              <w:t>100</w:t>
            </w:r>
          </w:p>
        </w:tc>
      </w:tr>
      <w:tr w:rsidR="00767033" w:rsidRPr="00767033" w14:paraId="6284B129" w14:textId="77777777" w:rsidTr="00002D0D">
        <w:trPr>
          <w:trHeight w:val="71"/>
          <w:jc w:val="center"/>
        </w:trPr>
        <w:tc>
          <w:tcPr>
            <w:tcW w:w="2235" w:type="dxa"/>
            <w:shd w:val="clear" w:color="auto" w:fill="auto"/>
            <w:vAlign w:val="center"/>
          </w:tcPr>
          <w:p w14:paraId="772ECF5A" w14:textId="77777777" w:rsidR="00767033" w:rsidRPr="00767033" w:rsidRDefault="00767033" w:rsidP="00767033">
            <w:pPr>
              <w:keepNext/>
              <w:keepLines/>
              <w:rPr>
                <w:rFonts w:cs="Arial"/>
              </w:rPr>
            </w:pPr>
            <w:r w:rsidRPr="00767033">
              <w:rPr>
                <w:rFonts w:cs="Arial"/>
              </w:rPr>
              <w:t>No. 4 (4.75 mm)</w:t>
            </w:r>
          </w:p>
        </w:tc>
        <w:tc>
          <w:tcPr>
            <w:tcW w:w="1170" w:type="dxa"/>
            <w:shd w:val="clear" w:color="auto" w:fill="auto"/>
            <w:vAlign w:val="center"/>
          </w:tcPr>
          <w:p w14:paraId="59D59AC4" w14:textId="77777777" w:rsidR="00767033" w:rsidRPr="00767033" w:rsidRDefault="00767033" w:rsidP="00767033">
            <w:pPr>
              <w:keepNext/>
              <w:keepLines/>
              <w:ind w:hanging="14"/>
              <w:rPr>
                <w:rFonts w:cs="Arial"/>
              </w:rPr>
            </w:pPr>
            <w:r w:rsidRPr="00767033">
              <w:rPr>
                <w:rFonts w:cs="Arial"/>
              </w:rPr>
              <w:t>40-50</w:t>
            </w:r>
          </w:p>
        </w:tc>
        <w:tc>
          <w:tcPr>
            <w:tcW w:w="1440" w:type="dxa"/>
            <w:shd w:val="clear" w:color="auto" w:fill="auto"/>
            <w:vAlign w:val="center"/>
          </w:tcPr>
          <w:p w14:paraId="729F40C5" w14:textId="77777777" w:rsidR="00767033" w:rsidRPr="00767033" w:rsidRDefault="00767033" w:rsidP="00767033">
            <w:pPr>
              <w:keepNext/>
              <w:keepLines/>
              <w:rPr>
                <w:rFonts w:cs="Arial"/>
              </w:rPr>
            </w:pPr>
            <w:r w:rsidRPr="00767033">
              <w:rPr>
                <w:rFonts w:cs="Arial"/>
              </w:rPr>
              <w:t>28-38</w:t>
            </w:r>
          </w:p>
        </w:tc>
      </w:tr>
      <w:tr w:rsidR="00767033" w:rsidRPr="00767033" w14:paraId="6EA4AD0E" w14:textId="77777777" w:rsidTr="00002D0D">
        <w:trPr>
          <w:trHeight w:val="188"/>
          <w:jc w:val="center"/>
        </w:trPr>
        <w:tc>
          <w:tcPr>
            <w:tcW w:w="2235" w:type="dxa"/>
            <w:shd w:val="clear" w:color="auto" w:fill="auto"/>
            <w:vAlign w:val="center"/>
          </w:tcPr>
          <w:p w14:paraId="178D6BCE" w14:textId="77777777" w:rsidR="00767033" w:rsidRPr="00767033" w:rsidRDefault="00767033" w:rsidP="00767033">
            <w:pPr>
              <w:keepNext/>
              <w:keepLines/>
              <w:rPr>
                <w:rFonts w:cs="Arial"/>
              </w:rPr>
            </w:pPr>
            <w:r w:rsidRPr="00767033">
              <w:rPr>
                <w:rFonts w:cs="Arial"/>
              </w:rPr>
              <w:t>No. 30 (0.6 mm)</w:t>
            </w:r>
          </w:p>
        </w:tc>
        <w:tc>
          <w:tcPr>
            <w:tcW w:w="1170" w:type="dxa"/>
            <w:shd w:val="clear" w:color="auto" w:fill="auto"/>
            <w:vAlign w:val="center"/>
          </w:tcPr>
          <w:p w14:paraId="276D859E" w14:textId="77777777" w:rsidR="00767033" w:rsidRPr="00767033" w:rsidRDefault="00767033" w:rsidP="00767033">
            <w:pPr>
              <w:keepNext/>
              <w:keepLines/>
              <w:ind w:hanging="14"/>
              <w:rPr>
                <w:rFonts w:cs="Arial"/>
              </w:rPr>
            </w:pPr>
            <w:r w:rsidRPr="00767033">
              <w:rPr>
                <w:rFonts w:cs="Arial"/>
              </w:rPr>
              <w:t>7-12</w:t>
            </w:r>
          </w:p>
        </w:tc>
        <w:tc>
          <w:tcPr>
            <w:tcW w:w="1440" w:type="dxa"/>
            <w:shd w:val="clear" w:color="auto" w:fill="auto"/>
            <w:vAlign w:val="center"/>
          </w:tcPr>
          <w:p w14:paraId="2FABD8B0" w14:textId="77777777" w:rsidR="00767033" w:rsidRPr="00767033" w:rsidRDefault="00767033" w:rsidP="00767033">
            <w:pPr>
              <w:keepNext/>
              <w:keepLines/>
              <w:rPr>
                <w:rFonts w:cs="Arial"/>
              </w:rPr>
            </w:pPr>
            <w:r w:rsidRPr="00767033">
              <w:rPr>
                <w:rFonts w:cs="Arial"/>
              </w:rPr>
              <w:t>4-10</w:t>
            </w:r>
          </w:p>
        </w:tc>
      </w:tr>
      <w:tr w:rsidR="00767033" w:rsidRPr="00767033" w14:paraId="4961ECCE" w14:textId="77777777" w:rsidTr="00002D0D">
        <w:trPr>
          <w:trHeight w:val="125"/>
          <w:jc w:val="center"/>
        </w:trPr>
        <w:tc>
          <w:tcPr>
            <w:tcW w:w="2235" w:type="dxa"/>
            <w:shd w:val="clear" w:color="auto" w:fill="auto"/>
            <w:vAlign w:val="center"/>
          </w:tcPr>
          <w:p w14:paraId="3E8FD91D" w14:textId="77777777" w:rsidR="00767033" w:rsidRPr="00767033" w:rsidRDefault="00767033" w:rsidP="00767033">
            <w:pPr>
              <w:keepNext/>
              <w:keepLines/>
              <w:rPr>
                <w:rFonts w:cs="Arial"/>
              </w:rPr>
            </w:pPr>
            <w:r w:rsidRPr="00767033">
              <w:rPr>
                <w:rFonts w:cs="Arial"/>
              </w:rPr>
              <w:t>No. 200 (0.075mm)</w:t>
            </w:r>
          </w:p>
        </w:tc>
        <w:tc>
          <w:tcPr>
            <w:tcW w:w="1170" w:type="dxa"/>
            <w:shd w:val="clear" w:color="auto" w:fill="auto"/>
            <w:vAlign w:val="center"/>
          </w:tcPr>
          <w:p w14:paraId="2F88FE16" w14:textId="77777777" w:rsidR="00767033" w:rsidRPr="00767033" w:rsidRDefault="00767033" w:rsidP="00767033">
            <w:pPr>
              <w:keepNext/>
              <w:keepLines/>
              <w:ind w:hanging="14"/>
              <w:rPr>
                <w:rFonts w:cs="Arial"/>
              </w:rPr>
            </w:pPr>
            <w:r w:rsidRPr="00767033">
              <w:rPr>
                <w:rFonts w:cs="Arial"/>
              </w:rPr>
              <w:t>&gt; 1</w:t>
            </w:r>
          </w:p>
        </w:tc>
        <w:tc>
          <w:tcPr>
            <w:tcW w:w="1440" w:type="dxa"/>
            <w:shd w:val="clear" w:color="auto" w:fill="auto"/>
            <w:vAlign w:val="center"/>
          </w:tcPr>
          <w:p w14:paraId="35884F96" w14:textId="77777777" w:rsidR="00767033" w:rsidRPr="00767033" w:rsidRDefault="00767033" w:rsidP="00767033">
            <w:pPr>
              <w:keepNext/>
              <w:keepLines/>
              <w:rPr>
                <w:rFonts w:cs="Arial"/>
              </w:rPr>
            </w:pPr>
            <w:r w:rsidRPr="00767033">
              <w:rPr>
                <w:rFonts w:cs="Arial"/>
              </w:rPr>
              <w:t>&gt; 1</w:t>
            </w:r>
          </w:p>
        </w:tc>
      </w:tr>
    </w:tbl>
    <w:p w14:paraId="4CC68755" w14:textId="77777777" w:rsidR="00767033" w:rsidRPr="00767033" w:rsidRDefault="00767033" w:rsidP="00767033">
      <w:pPr>
        <w:rPr>
          <w:rFonts w:cs="Arial"/>
        </w:rPr>
      </w:pPr>
    </w:p>
    <w:p w14:paraId="7742A250" w14:textId="77777777" w:rsidR="00767033" w:rsidRPr="00767033" w:rsidRDefault="00767033" w:rsidP="00B17917">
      <w:pPr>
        <w:pStyle w:val="BodyTextFirstIndent"/>
      </w:pPr>
      <w:r w:rsidRPr="00767033">
        <w:t>After crushing determine the millings gradation using AASHTO T 11 and T 27 (dried at no greater than 104 °F (40 °C)).</w:t>
      </w:r>
    </w:p>
    <w:p w14:paraId="5259E07B" w14:textId="77777777" w:rsidR="00767033" w:rsidRPr="00767033" w:rsidRDefault="00767033" w:rsidP="00B17917">
      <w:pPr>
        <w:pStyle w:val="BodyTextFirstIndent"/>
      </w:pPr>
      <w:r w:rsidRPr="00767033">
        <w:t>A minimum of 150 pounds (68 kg) of usable millings is required for each mix design.  The estimated quantities for one mix design is:</w:t>
      </w:r>
    </w:p>
    <w:p w14:paraId="5D05AD9E" w14:textId="77777777" w:rsidR="00767033" w:rsidRPr="00767033" w:rsidRDefault="00767033" w:rsidP="00B17917">
      <w:pPr>
        <w:pStyle w:val="Bullet-Text"/>
      </w:pPr>
      <w:r w:rsidRPr="00767033">
        <w:t>50 – 4-inch (100 mm) cores, or</w:t>
      </w:r>
    </w:p>
    <w:p w14:paraId="3DE2658F" w14:textId="77777777" w:rsidR="00767033" w:rsidRPr="00767033" w:rsidRDefault="00767033" w:rsidP="00B17917">
      <w:pPr>
        <w:pStyle w:val="Bullet-Text"/>
      </w:pPr>
      <w:r w:rsidRPr="00767033">
        <w:t>30 – 6-inch (150 mm) cores</w:t>
      </w:r>
    </w:p>
    <w:p w14:paraId="315EECA7" w14:textId="77777777" w:rsidR="00767033" w:rsidRPr="00767033" w:rsidRDefault="00767033" w:rsidP="00B17917">
      <w:pPr>
        <w:pStyle w:val="BodyTextFirstIndent"/>
      </w:pPr>
      <w:r w:rsidRPr="00767033">
        <w:t>Prepare samples with a sample splitter.  An alternative method is to dry, screen and recombine millings in the laboratory to target gradation.  The following screen sizes are recommended: ½-inch (12.5 mm), ⅜-inch (9.5 mm), No. 4 (4.75 mm), No. 8 (2.36 mm), No. 30 (0.600 mm), and pan.</w:t>
      </w:r>
    </w:p>
    <w:p w14:paraId="21A98402" w14:textId="77777777" w:rsidR="00767033" w:rsidRPr="00767033" w:rsidRDefault="00767033" w:rsidP="00B17917">
      <w:pPr>
        <w:pStyle w:val="BodyTextFirstIndent"/>
      </w:pPr>
      <w:r w:rsidRPr="00767033">
        <w:t>Scalp oversize aggregate with a 1-inch (25 mm) screen when using 4-inch (100 mm) diameter compaction molds.</w:t>
      </w:r>
    </w:p>
    <w:p w14:paraId="7F3A032F" w14:textId="77777777" w:rsidR="00767033" w:rsidRPr="00767033" w:rsidRDefault="00767033" w:rsidP="00B17917">
      <w:pPr>
        <w:pStyle w:val="3BidStyle1"/>
      </w:pPr>
      <w:r w:rsidRPr="00767033">
        <w:t>Mixing.  Mix material for a 4-inch (100 mm) diameter, 2.4-inch to 2.6-inch (61.0 mm to 66.0 mm) tall specimen. Determine sample size for Rice specific gravity testing using MT 321.</w:t>
      </w:r>
    </w:p>
    <w:p w14:paraId="6F9926B2" w14:textId="77777777" w:rsidR="00767033" w:rsidRPr="00767033" w:rsidRDefault="00767033" w:rsidP="00B17917">
      <w:pPr>
        <w:pStyle w:val="BodyTextFirstIndent"/>
      </w:pPr>
      <w:r w:rsidRPr="00767033">
        <w:t>Number of specimens:</w:t>
      </w:r>
    </w:p>
    <w:p w14:paraId="616E67FC" w14:textId="77777777" w:rsidR="00767033" w:rsidRPr="00767033" w:rsidRDefault="00767033" w:rsidP="00767033">
      <w:pPr>
        <w:rPr>
          <w:rFonts w:cs="Arial"/>
        </w:rPr>
      </w:pPr>
    </w:p>
    <w:tbl>
      <w:tblPr>
        <w:tblStyle w:val="TableGrid14"/>
        <w:tblW w:w="0" w:type="auto"/>
        <w:jc w:val="center"/>
        <w:tblLook w:val="00A0" w:firstRow="1" w:lastRow="0" w:firstColumn="1" w:lastColumn="0" w:noHBand="0" w:noVBand="0"/>
      </w:tblPr>
      <w:tblGrid>
        <w:gridCol w:w="1065"/>
        <w:gridCol w:w="4770"/>
        <w:gridCol w:w="1710"/>
      </w:tblGrid>
      <w:tr w:rsidR="00767033" w:rsidRPr="00767033" w14:paraId="36AE3F28" w14:textId="77777777" w:rsidTr="00002D0D">
        <w:trPr>
          <w:jc w:val="center"/>
        </w:trPr>
        <w:tc>
          <w:tcPr>
            <w:tcW w:w="1065" w:type="dxa"/>
            <w:tcBorders>
              <w:top w:val="double" w:sz="4" w:space="0" w:color="auto"/>
              <w:left w:val="double" w:sz="4" w:space="0" w:color="auto"/>
              <w:bottom w:val="double" w:sz="4" w:space="0" w:color="auto"/>
            </w:tcBorders>
            <w:shd w:val="clear" w:color="auto" w:fill="D9D9D9" w:themeFill="background1" w:themeFillShade="D9"/>
            <w:vAlign w:val="center"/>
          </w:tcPr>
          <w:p w14:paraId="639808FC" w14:textId="77777777" w:rsidR="00767033" w:rsidRPr="00767033" w:rsidRDefault="00767033" w:rsidP="00767033">
            <w:pPr>
              <w:ind w:hanging="30"/>
              <w:jc w:val="center"/>
              <w:rPr>
                <w:rFonts w:cs="Arial"/>
                <w:bCs/>
              </w:rPr>
            </w:pPr>
            <w:r w:rsidRPr="00767033">
              <w:rPr>
                <w:rFonts w:cs="Arial"/>
                <w:bCs/>
              </w:rPr>
              <w:t>Quantity</w:t>
            </w:r>
          </w:p>
        </w:tc>
        <w:tc>
          <w:tcPr>
            <w:tcW w:w="4770" w:type="dxa"/>
            <w:tcBorders>
              <w:top w:val="double" w:sz="4" w:space="0" w:color="auto"/>
              <w:bottom w:val="double" w:sz="4" w:space="0" w:color="auto"/>
            </w:tcBorders>
            <w:shd w:val="clear" w:color="auto" w:fill="D9D9D9" w:themeFill="background1" w:themeFillShade="D9"/>
            <w:vAlign w:val="center"/>
          </w:tcPr>
          <w:p w14:paraId="5A9D8E9A" w14:textId="77777777" w:rsidR="00767033" w:rsidRPr="00767033" w:rsidRDefault="00767033" w:rsidP="00767033">
            <w:pPr>
              <w:ind w:hanging="30"/>
              <w:jc w:val="center"/>
              <w:rPr>
                <w:rFonts w:cs="Arial"/>
                <w:bCs/>
              </w:rPr>
            </w:pPr>
            <w:r w:rsidRPr="00767033">
              <w:rPr>
                <w:rFonts w:cs="Arial"/>
                <w:bCs/>
              </w:rPr>
              <w:t xml:space="preserve">Test </w:t>
            </w:r>
            <w:proofErr w:type="gramStart"/>
            <w:r w:rsidRPr="00767033">
              <w:rPr>
                <w:rFonts w:cs="Arial"/>
                <w:bCs/>
              </w:rPr>
              <w:t>To</w:t>
            </w:r>
            <w:proofErr w:type="gramEnd"/>
            <w:r w:rsidRPr="00767033">
              <w:rPr>
                <w:rFonts w:cs="Arial"/>
                <w:bCs/>
              </w:rPr>
              <w:t xml:space="preserve"> Be Performed</w:t>
            </w:r>
          </w:p>
        </w:tc>
        <w:tc>
          <w:tcPr>
            <w:tcW w:w="1710" w:type="dxa"/>
            <w:tcBorders>
              <w:top w:val="double" w:sz="4" w:space="0" w:color="auto"/>
              <w:bottom w:val="double" w:sz="4" w:space="0" w:color="auto"/>
              <w:right w:val="double" w:sz="4" w:space="0" w:color="auto"/>
            </w:tcBorders>
            <w:shd w:val="clear" w:color="auto" w:fill="D9D9D9" w:themeFill="background1" w:themeFillShade="D9"/>
            <w:vAlign w:val="center"/>
          </w:tcPr>
          <w:p w14:paraId="697488BA" w14:textId="77777777" w:rsidR="00767033" w:rsidRPr="00767033" w:rsidRDefault="00767033" w:rsidP="00767033">
            <w:pPr>
              <w:ind w:hanging="30"/>
              <w:jc w:val="center"/>
              <w:rPr>
                <w:rFonts w:cs="Arial"/>
                <w:bCs/>
              </w:rPr>
            </w:pPr>
            <w:r w:rsidRPr="00767033">
              <w:rPr>
                <w:rFonts w:cs="Arial"/>
                <w:bCs/>
              </w:rPr>
              <w:t>Total Number</w:t>
            </w:r>
          </w:p>
        </w:tc>
      </w:tr>
      <w:tr w:rsidR="00767033" w:rsidRPr="00767033" w14:paraId="54FCD1E9" w14:textId="77777777" w:rsidTr="00002D0D">
        <w:trPr>
          <w:jc w:val="center"/>
        </w:trPr>
        <w:tc>
          <w:tcPr>
            <w:tcW w:w="1065" w:type="dxa"/>
            <w:tcBorders>
              <w:top w:val="double" w:sz="4" w:space="0" w:color="auto"/>
            </w:tcBorders>
            <w:vAlign w:val="center"/>
          </w:tcPr>
          <w:p w14:paraId="55B9B779" w14:textId="77777777" w:rsidR="00767033" w:rsidRPr="00767033" w:rsidRDefault="00767033" w:rsidP="00767033">
            <w:pPr>
              <w:ind w:firstLine="360"/>
              <w:rPr>
                <w:rFonts w:cs="Arial"/>
              </w:rPr>
            </w:pPr>
            <w:r w:rsidRPr="00767033">
              <w:rPr>
                <w:rFonts w:cs="Arial"/>
              </w:rPr>
              <w:t>2</w:t>
            </w:r>
          </w:p>
        </w:tc>
        <w:tc>
          <w:tcPr>
            <w:tcW w:w="4770" w:type="dxa"/>
            <w:tcBorders>
              <w:top w:val="double" w:sz="4" w:space="0" w:color="auto"/>
            </w:tcBorders>
            <w:vAlign w:val="center"/>
          </w:tcPr>
          <w:p w14:paraId="50C083E8" w14:textId="77777777" w:rsidR="00767033" w:rsidRPr="00767033" w:rsidRDefault="00767033" w:rsidP="00767033">
            <w:pPr>
              <w:ind w:hanging="14"/>
              <w:rPr>
                <w:rFonts w:cs="Arial"/>
              </w:rPr>
            </w:pPr>
            <w:r w:rsidRPr="00767033">
              <w:rPr>
                <w:rFonts w:cs="Arial"/>
              </w:rPr>
              <w:t>Moisture Susceptibility @ 3 emulsion contents</w:t>
            </w:r>
          </w:p>
        </w:tc>
        <w:tc>
          <w:tcPr>
            <w:tcW w:w="1710" w:type="dxa"/>
            <w:tcBorders>
              <w:top w:val="double" w:sz="4" w:space="0" w:color="auto"/>
            </w:tcBorders>
            <w:vAlign w:val="center"/>
          </w:tcPr>
          <w:p w14:paraId="04914B27" w14:textId="77777777" w:rsidR="00767033" w:rsidRPr="00767033" w:rsidRDefault="00767033" w:rsidP="00767033">
            <w:pPr>
              <w:ind w:firstLine="605"/>
              <w:rPr>
                <w:rFonts w:cs="Arial"/>
              </w:rPr>
            </w:pPr>
            <w:r w:rsidRPr="00767033">
              <w:rPr>
                <w:rFonts w:cs="Arial"/>
              </w:rPr>
              <w:t>6</w:t>
            </w:r>
          </w:p>
        </w:tc>
      </w:tr>
      <w:tr w:rsidR="00767033" w:rsidRPr="00767033" w14:paraId="5A4FD433" w14:textId="77777777" w:rsidTr="00002D0D">
        <w:trPr>
          <w:jc w:val="center"/>
        </w:trPr>
        <w:tc>
          <w:tcPr>
            <w:tcW w:w="1065" w:type="dxa"/>
            <w:vAlign w:val="center"/>
          </w:tcPr>
          <w:p w14:paraId="020DC113" w14:textId="77777777" w:rsidR="00767033" w:rsidRPr="00767033" w:rsidRDefault="00767033" w:rsidP="00767033">
            <w:pPr>
              <w:ind w:firstLine="360"/>
              <w:rPr>
                <w:rFonts w:cs="Arial"/>
              </w:rPr>
            </w:pPr>
            <w:r w:rsidRPr="00767033">
              <w:rPr>
                <w:rFonts w:cs="Arial"/>
              </w:rPr>
              <w:t>2</w:t>
            </w:r>
          </w:p>
        </w:tc>
        <w:tc>
          <w:tcPr>
            <w:tcW w:w="4770" w:type="dxa"/>
            <w:vAlign w:val="center"/>
          </w:tcPr>
          <w:p w14:paraId="64B498D1" w14:textId="77777777" w:rsidR="00767033" w:rsidRPr="00767033" w:rsidRDefault="00767033" w:rsidP="00767033">
            <w:pPr>
              <w:ind w:hanging="14"/>
              <w:rPr>
                <w:rFonts w:cs="Arial"/>
              </w:rPr>
            </w:pPr>
            <w:r w:rsidRPr="00767033">
              <w:rPr>
                <w:rFonts w:cs="Arial"/>
              </w:rPr>
              <w:t>Rice Specific Gravity on highest emulsion content</w:t>
            </w:r>
          </w:p>
        </w:tc>
        <w:tc>
          <w:tcPr>
            <w:tcW w:w="1710" w:type="dxa"/>
            <w:vAlign w:val="center"/>
          </w:tcPr>
          <w:p w14:paraId="7F577C7D" w14:textId="77777777" w:rsidR="00767033" w:rsidRPr="00767033" w:rsidRDefault="00767033" w:rsidP="00767033">
            <w:pPr>
              <w:ind w:firstLine="605"/>
              <w:rPr>
                <w:rFonts w:cs="Arial"/>
              </w:rPr>
            </w:pPr>
            <w:r w:rsidRPr="00767033">
              <w:rPr>
                <w:rFonts w:cs="Arial"/>
              </w:rPr>
              <w:t>2</w:t>
            </w:r>
          </w:p>
        </w:tc>
      </w:tr>
      <w:tr w:rsidR="00767033" w:rsidRPr="00767033" w14:paraId="4BC01712" w14:textId="77777777" w:rsidTr="00002D0D">
        <w:trPr>
          <w:jc w:val="center"/>
        </w:trPr>
        <w:tc>
          <w:tcPr>
            <w:tcW w:w="1065" w:type="dxa"/>
            <w:vAlign w:val="center"/>
          </w:tcPr>
          <w:p w14:paraId="438C8E0E" w14:textId="77777777" w:rsidR="00767033" w:rsidRPr="00767033" w:rsidRDefault="00767033" w:rsidP="00767033">
            <w:pPr>
              <w:ind w:firstLine="360"/>
              <w:rPr>
                <w:rFonts w:cs="Arial"/>
              </w:rPr>
            </w:pPr>
            <w:r w:rsidRPr="00767033">
              <w:rPr>
                <w:rFonts w:cs="Arial"/>
              </w:rPr>
              <w:t>2</w:t>
            </w:r>
          </w:p>
        </w:tc>
        <w:tc>
          <w:tcPr>
            <w:tcW w:w="4770" w:type="dxa"/>
            <w:vAlign w:val="center"/>
          </w:tcPr>
          <w:p w14:paraId="02328DA6" w14:textId="77777777" w:rsidR="00767033" w:rsidRPr="00767033" w:rsidRDefault="00767033" w:rsidP="00767033">
            <w:pPr>
              <w:ind w:hanging="14"/>
              <w:rPr>
                <w:rFonts w:cs="Arial"/>
              </w:rPr>
            </w:pPr>
            <w:r w:rsidRPr="00767033">
              <w:rPr>
                <w:rFonts w:cs="Arial"/>
              </w:rPr>
              <w:t>Marshall Stability @ 3 emulsion contents</w:t>
            </w:r>
          </w:p>
        </w:tc>
        <w:tc>
          <w:tcPr>
            <w:tcW w:w="1710" w:type="dxa"/>
            <w:vAlign w:val="center"/>
          </w:tcPr>
          <w:p w14:paraId="6870D59F" w14:textId="77777777" w:rsidR="00767033" w:rsidRPr="00767033" w:rsidRDefault="00767033" w:rsidP="00767033">
            <w:pPr>
              <w:ind w:firstLine="605"/>
              <w:rPr>
                <w:rFonts w:cs="Arial"/>
              </w:rPr>
            </w:pPr>
            <w:r w:rsidRPr="00767033">
              <w:rPr>
                <w:rFonts w:cs="Arial"/>
              </w:rPr>
              <w:t>6</w:t>
            </w:r>
          </w:p>
        </w:tc>
      </w:tr>
    </w:tbl>
    <w:p w14:paraId="2341E402" w14:textId="77777777" w:rsidR="00767033" w:rsidRPr="00767033" w:rsidRDefault="00767033" w:rsidP="00767033">
      <w:pPr>
        <w:rPr>
          <w:rFonts w:cs="Arial"/>
        </w:rPr>
      </w:pPr>
    </w:p>
    <w:p w14:paraId="31D4EBBB" w14:textId="77777777" w:rsidR="00767033" w:rsidRPr="00767033" w:rsidRDefault="00767033" w:rsidP="00B17917">
      <w:pPr>
        <w:pStyle w:val="BodyTextFirstIndent"/>
      </w:pPr>
      <w:r w:rsidRPr="00767033">
        <w:t>Choose three emulsion contents bracketing the estimated design emulsion content.  Recommended emulsion contents: 1, 2, and 3%.</w:t>
      </w:r>
    </w:p>
    <w:p w14:paraId="506437F4" w14:textId="77777777" w:rsidR="00767033" w:rsidRPr="00767033" w:rsidRDefault="00767033" w:rsidP="00B17917">
      <w:pPr>
        <w:pStyle w:val="BodyTextFirstIndent"/>
      </w:pPr>
      <w:r w:rsidRPr="00767033">
        <w:t>Add 0.5% mineral filler.</w:t>
      </w:r>
    </w:p>
    <w:p w14:paraId="2FC36F5F" w14:textId="77777777" w:rsidR="00767033" w:rsidRPr="00767033" w:rsidRDefault="00767033" w:rsidP="00B17917">
      <w:pPr>
        <w:pStyle w:val="BodyTextFirstIndent"/>
      </w:pPr>
      <w:r w:rsidRPr="00767033">
        <w:t>Mix test specimens in a mechanical bucket mixer.  At ambient temperature, mix the millings thoroughly with mineral filler first, then mix with emulsion.  Mix one specimen at a time.  Do not mix with emulsion more than 60 seconds.</w:t>
      </w:r>
    </w:p>
    <w:p w14:paraId="77946048" w14:textId="77777777" w:rsidR="00767033" w:rsidRPr="00767033" w:rsidRDefault="00767033" w:rsidP="00B17917">
      <w:pPr>
        <w:pStyle w:val="3BidStyle1"/>
      </w:pPr>
      <w:r w:rsidRPr="00767033">
        <w:t>Compaction.  Compact specimens immediately after mixing.  Compact specimens as specified in Table 405-3.  Do not heat the mold.</w:t>
      </w:r>
    </w:p>
    <w:p w14:paraId="123EA305" w14:textId="77777777" w:rsidR="00767033" w:rsidRPr="00767033" w:rsidRDefault="00767033" w:rsidP="00B17917">
      <w:pPr>
        <w:pStyle w:val="3BidStyle1"/>
      </w:pPr>
      <w:r w:rsidRPr="00767033">
        <w:t>Curing after compaction.  Extrude specimens from molds immediately after compaction.  Place specimens in 140 °F (60 °C) forced draft oven with side and top ventilation.  Place each specimen in a small container to account for material loss from specimens.</w:t>
      </w:r>
    </w:p>
    <w:p w14:paraId="0800A9D9" w14:textId="77777777" w:rsidR="00767033" w:rsidRPr="00767033" w:rsidRDefault="00767033" w:rsidP="00B17917">
      <w:pPr>
        <w:pStyle w:val="BodyTextFirstIndent"/>
      </w:pPr>
      <w:r w:rsidRPr="00767033">
        <w:t>Cure Rice specific gravity specimens to constant weight (less than 0.05% weight loss in two hours).  Do not over-dry the specimens.</w:t>
      </w:r>
    </w:p>
    <w:p w14:paraId="1C8091B2" w14:textId="77777777" w:rsidR="00767033" w:rsidRPr="00767033" w:rsidRDefault="00767033" w:rsidP="00B17917">
      <w:pPr>
        <w:pStyle w:val="BodyTextFirstIndent"/>
      </w:pPr>
      <w:r w:rsidRPr="00767033">
        <w:t>Cure compacted Marshall and moisture susceptibility specimens to constant weight (less than 0.05% change in weight in two hours) for 16 to 48 hours.  After curing, cool specimens at ambient temperature for 12 to 24 hours.</w:t>
      </w:r>
    </w:p>
    <w:p w14:paraId="0B62256C" w14:textId="77777777" w:rsidR="00767033" w:rsidRPr="00767033" w:rsidRDefault="00767033" w:rsidP="00B17917">
      <w:pPr>
        <w:pStyle w:val="3BidStyle1"/>
      </w:pPr>
      <w:r w:rsidRPr="00767033">
        <w:t>Marshall Stability and Air Voids.  Determine bulk specific gravity of each specimen according to MT 314 with one exception.  Record the mass of the specimen in water after 1-minute submersion.</w:t>
      </w:r>
    </w:p>
    <w:p w14:paraId="4F4245D9" w14:textId="77777777" w:rsidR="00767033" w:rsidRPr="00767033" w:rsidRDefault="00767033" w:rsidP="00E27D62">
      <w:pPr>
        <w:pStyle w:val="BodyTextFirstIndent"/>
      </w:pPr>
      <w:r w:rsidRPr="00767033">
        <w:t>Determine specimen heights according to ASTM D3549 or from the SGC readout.</w:t>
      </w:r>
    </w:p>
    <w:p w14:paraId="3C7E76B7" w14:textId="77777777" w:rsidR="00767033" w:rsidRPr="00767033" w:rsidRDefault="00767033" w:rsidP="00E27D62">
      <w:pPr>
        <w:pStyle w:val="BodyTextFirstIndent"/>
      </w:pPr>
      <w:r w:rsidRPr="00767033">
        <w:t>Determine Rice specific gravity, MT 321, except do not break any agglomerates which will not easily reduce with a flexible spatula.  Normally the supplemental dry-back procedure is performed to adjust for uncoated particles.</w:t>
      </w:r>
    </w:p>
    <w:p w14:paraId="5A9D1F00" w14:textId="77777777" w:rsidR="00767033" w:rsidRPr="00767033" w:rsidRDefault="00767033" w:rsidP="00E27D62">
      <w:pPr>
        <w:pStyle w:val="BodyTextFirstIndent"/>
      </w:pPr>
      <w:r w:rsidRPr="00767033">
        <w:t>Determine air voids at each emulsion content.</w:t>
      </w:r>
    </w:p>
    <w:p w14:paraId="58BB18A4" w14:textId="77777777" w:rsidR="00767033" w:rsidRPr="00767033" w:rsidRDefault="00767033" w:rsidP="00E27D62">
      <w:pPr>
        <w:pStyle w:val="BodyTextFirstIndent"/>
      </w:pPr>
      <w:r w:rsidRPr="00767033">
        <w:t>Determine corrected Marshall stability by AASHTO T 124 at 104 °F (40 °C) after 2-hour temperature conditioning in a forced draft oven.</w:t>
      </w:r>
    </w:p>
    <w:p w14:paraId="1CAD3D06" w14:textId="77777777" w:rsidR="00767033" w:rsidRPr="00767033" w:rsidRDefault="00767033" w:rsidP="00B17917">
      <w:pPr>
        <w:pStyle w:val="3BidStyle1"/>
      </w:pPr>
      <w:r w:rsidRPr="00767033">
        <w:t>Moisture Susceptibility.  Perform moisture susceptibility (AASHTO T 283) with the following changes to the procedure.  Vacuum saturate to 55% to 75%, soak in a 77 °F (</w:t>
      </w:r>
      <w:proofErr w:type="gramStart"/>
      <w:r w:rsidRPr="00767033">
        <w:t>25  C</w:t>
      </w:r>
      <w:proofErr w:type="gramEnd"/>
      <w:r w:rsidRPr="00767033">
        <w:t>) water bath for 23 hours, followed by a 1-hour soak at 104 °F (40 °C). Determine corrected Marshall stability and retained stability.</w:t>
      </w:r>
    </w:p>
    <w:p w14:paraId="3D0AC2CE" w14:textId="77777777" w:rsidR="00767033" w:rsidRPr="00767033" w:rsidRDefault="00767033" w:rsidP="00B17917">
      <w:pPr>
        <w:pStyle w:val="3BidStyle1"/>
        <w:tabs>
          <w:tab w:val="clear" w:pos="1080"/>
        </w:tabs>
        <w:rPr>
          <w:rFonts w:cs="Arial"/>
        </w:rPr>
      </w:pPr>
      <w:r w:rsidRPr="00767033">
        <w:rPr>
          <w:rFonts w:cs="Arial"/>
        </w:rPr>
        <w:t>Procedure for performing AASHTO T 322 for Cold Recycling Design Specimens.  The critical cold temperature cracking temperature must be equal to or colder than the temperature shown in Table 405-3.</w:t>
      </w:r>
    </w:p>
    <w:p w14:paraId="60E03871" w14:textId="77777777" w:rsidR="00767033" w:rsidRPr="00767033" w:rsidRDefault="00767033" w:rsidP="00E27D62">
      <w:pPr>
        <w:pStyle w:val="BodyTextFirstIndent"/>
      </w:pPr>
      <w:r w:rsidRPr="00767033">
        <w:t>Perform the indirect tensile testing (IDT) meeting AASHTO T 322, except as follows:</w:t>
      </w:r>
    </w:p>
    <w:p w14:paraId="14E23E90" w14:textId="77777777" w:rsidR="00767033" w:rsidRPr="00767033" w:rsidRDefault="00767033" w:rsidP="00E27D62">
      <w:pPr>
        <w:pStyle w:val="4BidStylea"/>
      </w:pPr>
      <w:r w:rsidRPr="00767033">
        <w:t>Prepare two specimens 6-inch (150 mm) in diameter and at least 4.5 inch (115 mm) in height, compacted to the design air voids (±1%) at the design emulsion content.  Cure test specimens at 60 ºC between 48 and 72 hours.  After curing 48 hours, ensure that specimen mass changes no more than a 0.05% in 2 hours.  After curing, cut two 2-inch (50 mm) specimens from each cured specimen from the center of the specimen (i.e. discard top and bottom of specimen).  Perform the bulk specific gravity test after cutting.</w:t>
      </w:r>
    </w:p>
    <w:p w14:paraId="4686E949" w14:textId="77777777" w:rsidR="00767033" w:rsidRPr="00767033" w:rsidRDefault="00767033" w:rsidP="00E27D62">
      <w:pPr>
        <w:pStyle w:val="4BidStylea"/>
        <w:tabs>
          <w:tab w:val="clear" w:pos="1080"/>
        </w:tabs>
        <w:rPr>
          <w:rFonts w:cs="Arial"/>
        </w:rPr>
      </w:pPr>
      <w:r w:rsidRPr="00767033">
        <w:rPr>
          <w:rFonts w:cs="Arial"/>
        </w:rPr>
        <w:t>A minimum of 2 specimens are required at each of 2 temperatures.</w:t>
      </w:r>
    </w:p>
    <w:p w14:paraId="40B08098" w14:textId="77777777" w:rsidR="00767033" w:rsidRPr="00767033" w:rsidRDefault="00767033" w:rsidP="00E27D62">
      <w:pPr>
        <w:pStyle w:val="4BidStylea"/>
        <w:tabs>
          <w:tab w:val="clear" w:pos="1080"/>
        </w:tabs>
        <w:rPr>
          <w:rFonts w:cs="Arial"/>
        </w:rPr>
      </w:pPr>
      <w:r w:rsidRPr="00767033">
        <w:rPr>
          <w:rFonts w:cs="Arial"/>
        </w:rPr>
        <w:t>Select two testing temperatures at an 18 ºF (10 ºC) interval bracketing the critical cold cracking temperature.  For example, if the required temperature is -13 ºF (-25 ºC), then select testing temperatures of -4 ºF (-20 ºC) and -22 ºF (-30 ºC).</w:t>
      </w:r>
    </w:p>
    <w:p w14:paraId="4E421059" w14:textId="77777777" w:rsidR="00767033" w:rsidRPr="00767033" w:rsidRDefault="00767033" w:rsidP="00E27D62">
      <w:pPr>
        <w:pStyle w:val="4BidStylea"/>
        <w:tabs>
          <w:tab w:val="clear" w:pos="1080"/>
        </w:tabs>
        <w:rPr>
          <w:rFonts w:cs="Arial"/>
        </w:rPr>
      </w:pPr>
      <w:r w:rsidRPr="00767033">
        <w:rPr>
          <w:rFonts w:cs="Arial"/>
        </w:rPr>
        <w:t>Perform IDT tensile strength test immediately after the IDT tensile creep test at the same temperature as the creep test.</w:t>
      </w:r>
    </w:p>
    <w:p w14:paraId="577A0AF6" w14:textId="77777777" w:rsidR="00767033" w:rsidRPr="00767033" w:rsidRDefault="00767033" w:rsidP="00E27D62">
      <w:pPr>
        <w:pStyle w:val="4BidStylea"/>
        <w:tabs>
          <w:tab w:val="clear" w:pos="1080"/>
        </w:tabs>
        <w:rPr>
          <w:rFonts w:cs="Arial"/>
        </w:rPr>
      </w:pPr>
      <w:r w:rsidRPr="00767033">
        <w:rPr>
          <w:rFonts w:cs="Arial"/>
        </w:rPr>
        <w:t>Ensure the environmental chamber can reach -40 ºF (-40 ºC).</w:t>
      </w:r>
    </w:p>
    <w:p w14:paraId="0003570A" w14:textId="77777777" w:rsidR="00767033" w:rsidRPr="00767033" w:rsidRDefault="00767033" w:rsidP="00E27D62">
      <w:pPr>
        <w:pStyle w:val="4BidStylea"/>
        <w:tabs>
          <w:tab w:val="clear" w:pos="1080"/>
        </w:tabs>
        <w:rPr>
          <w:rFonts w:cs="Arial"/>
        </w:rPr>
      </w:pPr>
      <w:r w:rsidRPr="00767033">
        <w:rPr>
          <w:rFonts w:cs="Arial"/>
        </w:rPr>
        <w:t>The critical cracking temperature is defined as the intersection of the calculated pavement thermal stress curve, derived from creep data, and the tensile strength line.  The tensile strength line connects the average tensile strength at the two test temperatures.</w:t>
      </w:r>
    </w:p>
    <w:p w14:paraId="1B2EBBAE" w14:textId="77777777" w:rsidR="00767033" w:rsidRPr="00767033" w:rsidRDefault="00767033" w:rsidP="00B17917">
      <w:pPr>
        <w:pStyle w:val="3BidStyle1"/>
        <w:tabs>
          <w:tab w:val="clear" w:pos="1080"/>
        </w:tabs>
        <w:rPr>
          <w:rFonts w:cs="Arial"/>
        </w:rPr>
      </w:pPr>
      <w:r w:rsidRPr="00767033">
        <w:rPr>
          <w:rFonts w:cs="Arial"/>
        </w:rPr>
        <w:t xml:space="preserve">Procedures for Performing the Raveling Test on Cold Recycled Specimens.  Use a modified A-120 Hobart mixer (or equivalent) and abrasion head (including hose) to perform the raveling test (ASTM D 7196 exceptions stated below).  Remove the ring weight from the abrasion head while performing the raveling test.  The weight of the abrasion head and hose in contact with the specimen is 1.32 </w:t>
      </w:r>
      <w:proofErr w:type="spellStart"/>
      <w:r w:rsidRPr="00767033">
        <w:rPr>
          <w:rFonts w:cs="Arial"/>
        </w:rPr>
        <w:t>lbs</w:t>
      </w:r>
      <w:proofErr w:type="spellEnd"/>
      <w:r w:rsidRPr="00767033">
        <w:rPr>
          <w:rFonts w:cs="Arial"/>
        </w:rPr>
        <w:t xml:space="preserve"> (600 g) ± 0.5 ounces (15 g).</w:t>
      </w:r>
    </w:p>
    <w:p w14:paraId="6AE2B9A8" w14:textId="77777777" w:rsidR="00767033" w:rsidRPr="00767033" w:rsidRDefault="00767033" w:rsidP="00E27D62">
      <w:pPr>
        <w:pStyle w:val="4BidStylea"/>
        <w:tabs>
          <w:tab w:val="clear" w:pos="1080"/>
        </w:tabs>
        <w:rPr>
          <w:rFonts w:cs="Arial"/>
        </w:rPr>
      </w:pPr>
      <w:r w:rsidRPr="00767033">
        <w:rPr>
          <w:rFonts w:cs="Arial"/>
        </w:rPr>
        <w:t>Split two 6 lb. (2700 g) recycled asphalt samples from the medium gradation or field sample.  Place sample in a mechanical bucket mixer.</w:t>
      </w:r>
    </w:p>
    <w:p w14:paraId="16F95995" w14:textId="77777777" w:rsidR="00767033" w:rsidRPr="00767033" w:rsidRDefault="00767033" w:rsidP="00B6316D">
      <w:pPr>
        <w:pStyle w:val="4BidStylea"/>
        <w:tabs>
          <w:tab w:val="clear" w:pos="1080"/>
        </w:tabs>
        <w:rPr>
          <w:rFonts w:cs="Arial"/>
        </w:rPr>
      </w:pPr>
      <w:r w:rsidRPr="00767033">
        <w:rPr>
          <w:rFonts w:cs="Arial"/>
        </w:rPr>
        <w:t>Add water required to reach field or design moisture content and mix for 60 seconds.</w:t>
      </w:r>
    </w:p>
    <w:p w14:paraId="76EE6871" w14:textId="77777777" w:rsidR="00767033" w:rsidRPr="00767033" w:rsidRDefault="00767033" w:rsidP="00B6316D">
      <w:pPr>
        <w:pStyle w:val="4BidStylea"/>
        <w:tabs>
          <w:tab w:val="clear" w:pos="1080"/>
        </w:tabs>
        <w:rPr>
          <w:rFonts w:cs="Arial"/>
        </w:rPr>
      </w:pPr>
      <w:r w:rsidRPr="00767033">
        <w:rPr>
          <w:rFonts w:cs="Arial"/>
        </w:rPr>
        <w:t>Add the design emulsion content and mix for 60 seconds.</w:t>
      </w:r>
    </w:p>
    <w:p w14:paraId="3329A38C" w14:textId="77777777" w:rsidR="00767033" w:rsidRPr="00767033" w:rsidRDefault="00767033" w:rsidP="00B6316D">
      <w:pPr>
        <w:pStyle w:val="4BidStylea"/>
        <w:tabs>
          <w:tab w:val="clear" w:pos="1080"/>
        </w:tabs>
        <w:rPr>
          <w:rFonts w:cs="Arial"/>
        </w:rPr>
      </w:pPr>
      <w:r w:rsidRPr="00767033">
        <w:rPr>
          <w:rFonts w:cs="Arial"/>
        </w:rPr>
        <w:t>Immediately place the samples into a 6-inch (150 mm) gyratory. compaction mold and compact to 20 gyrations.  If the sample height is not 2.75-in. (70 mm) ±0.2 inches (5 mm), adjust the recycled asphalt weight and prepare a new specimen.</w:t>
      </w:r>
    </w:p>
    <w:p w14:paraId="5F740C4C" w14:textId="77777777" w:rsidR="00767033" w:rsidRPr="00767033" w:rsidRDefault="00767033" w:rsidP="00B6316D">
      <w:pPr>
        <w:pStyle w:val="4BidStylea"/>
        <w:tabs>
          <w:tab w:val="clear" w:pos="1080"/>
        </w:tabs>
        <w:rPr>
          <w:rFonts w:cs="Arial"/>
        </w:rPr>
      </w:pPr>
      <w:r w:rsidRPr="00767033">
        <w:rPr>
          <w:rFonts w:cs="Arial"/>
        </w:rPr>
        <w:t>After compaction, remove the specimen from the compaction mold and place on a flat pan to cure at ambient temperature (65-75 ºF) for 4 hours ±5 minutes.</w:t>
      </w:r>
    </w:p>
    <w:p w14:paraId="0208A2AB" w14:textId="77777777" w:rsidR="00767033" w:rsidRPr="00767033" w:rsidRDefault="00767033" w:rsidP="00B6316D">
      <w:pPr>
        <w:pStyle w:val="4BidStylea"/>
        <w:tabs>
          <w:tab w:val="clear" w:pos="1080"/>
        </w:tabs>
        <w:rPr>
          <w:rFonts w:cs="Arial"/>
        </w:rPr>
      </w:pPr>
      <w:r w:rsidRPr="00767033">
        <w:rPr>
          <w:rFonts w:cs="Arial"/>
        </w:rPr>
        <w:t>Weigh specimen after the curing and immediately before testing.</w:t>
      </w:r>
    </w:p>
    <w:p w14:paraId="2055328B" w14:textId="77777777" w:rsidR="00767033" w:rsidRPr="00767033" w:rsidRDefault="00767033" w:rsidP="00B6316D">
      <w:pPr>
        <w:pStyle w:val="4BidStylea"/>
        <w:tabs>
          <w:tab w:val="clear" w:pos="1080"/>
        </w:tabs>
        <w:rPr>
          <w:rFonts w:cs="Arial"/>
        </w:rPr>
      </w:pPr>
      <w:r w:rsidRPr="00767033">
        <w:rPr>
          <w:rFonts w:cs="Arial"/>
        </w:rPr>
        <w:t>Place specimen on the raveling test apparatus.  Ensure the specimen is secured and centered under the abrasion head allowing for free vertical movement of the abrasion head.  Provide at least 0.4 in (10 mm) of vertical hose movement for abrasion.  For the sample to fit properly for abrasion, it may be necessary to adjust the abrasion head height or sample height.  The portion of the hose in contact with the specimen must be unused.  It is allowable to rotate the hose to an unworn section for testing.</w:t>
      </w:r>
    </w:p>
    <w:p w14:paraId="7F80CFB8" w14:textId="77777777" w:rsidR="00767033" w:rsidRPr="00767033" w:rsidRDefault="00767033" w:rsidP="00B6316D">
      <w:pPr>
        <w:pStyle w:val="4BidStylea"/>
        <w:tabs>
          <w:tab w:val="clear" w:pos="1080"/>
        </w:tabs>
        <w:rPr>
          <w:rFonts w:cs="Arial"/>
        </w:rPr>
      </w:pPr>
      <w:r w:rsidRPr="00767033">
        <w:rPr>
          <w:rFonts w:cs="Arial"/>
        </w:rPr>
        <w:t>Abrade sample for 15 minutes.  Remove abraded material and weigh sample immediately after testing.</w:t>
      </w:r>
    </w:p>
    <w:p w14:paraId="0BADB2CB" w14:textId="77777777" w:rsidR="00767033" w:rsidRPr="00767033" w:rsidRDefault="00767033" w:rsidP="00B6316D">
      <w:pPr>
        <w:pStyle w:val="4BidStylea"/>
        <w:tabs>
          <w:tab w:val="clear" w:pos="1080"/>
        </w:tabs>
        <w:rPr>
          <w:rFonts w:cs="Arial"/>
        </w:rPr>
      </w:pPr>
      <w:r w:rsidRPr="00767033">
        <w:rPr>
          <w:rFonts w:cs="Arial"/>
        </w:rPr>
        <w:t>Determine the percent raveling loss as follows:</w:t>
      </w:r>
      <w:r w:rsidRPr="00767033">
        <w:rPr>
          <w:rFonts w:cs="Arial"/>
        </w:rPr>
        <w:br/>
        <w:t>(Mass Prior to test – Mass After test)</w:t>
      </w:r>
      <w:proofErr w:type="gramStart"/>
      <w:r w:rsidRPr="00767033">
        <w:rPr>
          <w:rFonts w:cs="Arial"/>
        </w:rPr>
        <w:t>/(</w:t>
      </w:r>
      <w:proofErr w:type="gramEnd"/>
      <w:r w:rsidRPr="00767033">
        <w:rPr>
          <w:rFonts w:cs="Arial"/>
        </w:rPr>
        <w:t>Mass Prior to test) * 100.</w:t>
      </w:r>
    </w:p>
    <w:p w14:paraId="21B0CD6C" w14:textId="77777777" w:rsidR="00767033" w:rsidRPr="00767033" w:rsidRDefault="00767033" w:rsidP="00B6316D">
      <w:pPr>
        <w:pStyle w:val="4BidStylea"/>
        <w:tabs>
          <w:tab w:val="clear" w:pos="1080"/>
        </w:tabs>
        <w:rPr>
          <w:rFonts w:cs="Arial"/>
        </w:rPr>
      </w:pPr>
      <w:r w:rsidRPr="00767033">
        <w:rPr>
          <w:rFonts w:cs="Arial"/>
        </w:rPr>
        <w:t>Report the average results of two specimens as the percent raveling loss.  Repeat the test if a difference in raveling loss between the two specimens is greater than 0.5%.  If both samples have a Raveling Loss greater than 10%, waive the 0.5% requirement and report results.</w:t>
      </w:r>
    </w:p>
    <w:p w14:paraId="16C55A24" w14:textId="77777777" w:rsidR="00767033" w:rsidRPr="00767033" w:rsidRDefault="00767033" w:rsidP="00B17917">
      <w:pPr>
        <w:pStyle w:val="3BidStyle1"/>
        <w:tabs>
          <w:tab w:val="clear" w:pos="1080"/>
        </w:tabs>
        <w:rPr>
          <w:rFonts w:cs="Arial"/>
        </w:rPr>
      </w:pPr>
      <w:r w:rsidRPr="00767033">
        <w:rPr>
          <w:rFonts w:cs="Arial"/>
        </w:rPr>
        <w:t>Emulsion Content Selection.  The design emulsion content is the lowest emulsion content meeting the requirements in Table 405-3.</w:t>
      </w:r>
    </w:p>
    <w:p w14:paraId="2C1FC982" w14:textId="77777777" w:rsidR="00767033" w:rsidRPr="00767033" w:rsidRDefault="00767033" w:rsidP="00B17917">
      <w:pPr>
        <w:pStyle w:val="3BidStyle1"/>
        <w:tabs>
          <w:tab w:val="clear" w:pos="1080"/>
        </w:tabs>
        <w:rPr>
          <w:rFonts w:cs="Arial"/>
        </w:rPr>
      </w:pPr>
      <w:r w:rsidRPr="00767033">
        <w:rPr>
          <w:rFonts w:cs="Arial"/>
        </w:rPr>
        <w:t>Report.  Include the following minimum information in the mix design report:</w:t>
      </w:r>
    </w:p>
    <w:p w14:paraId="5A823D11" w14:textId="77777777" w:rsidR="00767033" w:rsidRPr="00767033" w:rsidRDefault="00767033" w:rsidP="00B6316D">
      <w:pPr>
        <w:pStyle w:val="4BidStylea"/>
        <w:tabs>
          <w:tab w:val="clear" w:pos="1080"/>
        </w:tabs>
        <w:rPr>
          <w:rFonts w:cs="Arial"/>
        </w:rPr>
      </w:pPr>
      <w:r w:rsidRPr="00767033">
        <w:rPr>
          <w:rFonts w:cs="Arial"/>
        </w:rPr>
        <w:t>RAP Gradation</w:t>
      </w:r>
    </w:p>
    <w:p w14:paraId="516DA1E5" w14:textId="77777777" w:rsidR="00767033" w:rsidRPr="00767033" w:rsidRDefault="00767033" w:rsidP="00B6316D">
      <w:pPr>
        <w:pStyle w:val="4BidStylea"/>
        <w:tabs>
          <w:tab w:val="clear" w:pos="1080"/>
        </w:tabs>
        <w:rPr>
          <w:rFonts w:cs="Arial"/>
        </w:rPr>
      </w:pPr>
      <w:r w:rsidRPr="00767033">
        <w:rPr>
          <w:rFonts w:cs="Arial"/>
        </w:rPr>
        <w:t>The amount and gradation of virgin aggregate or RAP added to the cold milled material (if required)</w:t>
      </w:r>
    </w:p>
    <w:p w14:paraId="75E8BD88" w14:textId="77777777" w:rsidR="00767033" w:rsidRPr="00767033" w:rsidRDefault="00767033" w:rsidP="00B6316D">
      <w:pPr>
        <w:pStyle w:val="4BidStylea"/>
        <w:tabs>
          <w:tab w:val="clear" w:pos="1080"/>
        </w:tabs>
        <w:rPr>
          <w:rFonts w:cs="Arial"/>
        </w:rPr>
      </w:pPr>
      <w:r w:rsidRPr="00767033">
        <w:rPr>
          <w:rFonts w:cs="Arial"/>
        </w:rPr>
        <w:t>Recommended water content range as percentage of dry RAP</w:t>
      </w:r>
    </w:p>
    <w:p w14:paraId="7CBC0775" w14:textId="77777777" w:rsidR="00767033" w:rsidRPr="00767033" w:rsidRDefault="00767033" w:rsidP="00B6316D">
      <w:pPr>
        <w:pStyle w:val="4BidStylea"/>
        <w:tabs>
          <w:tab w:val="clear" w:pos="1080"/>
        </w:tabs>
        <w:rPr>
          <w:rFonts w:cs="Arial"/>
        </w:rPr>
      </w:pPr>
      <w:r w:rsidRPr="00767033">
        <w:rPr>
          <w:rFonts w:cs="Arial"/>
        </w:rPr>
        <w:t>Optimum emulsion content as a percentage of dry RAP</w:t>
      </w:r>
    </w:p>
    <w:p w14:paraId="547719D9" w14:textId="77777777" w:rsidR="00767033" w:rsidRPr="00767033" w:rsidRDefault="00767033" w:rsidP="00B6316D">
      <w:pPr>
        <w:pStyle w:val="4BidStylea"/>
        <w:tabs>
          <w:tab w:val="clear" w:pos="1080"/>
        </w:tabs>
        <w:rPr>
          <w:rFonts w:cs="Arial"/>
        </w:rPr>
      </w:pPr>
      <w:r w:rsidRPr="00767033">
        <w:rPr>
          <w:rFonts w:cs="Arial"/>
        </w:rPr>
        <w:t>Rice and bulk specific gravity, density, air void level, and absorbed water at optimum emulsion content</w:t>
      </w:r>
    </w:p>
    <w:p w14:paraId="78278DE5" w14:textId="77777777" w:rsidR="00767033" w:rsidRPr="00767033" w:rsidRDefault="00767033" w:rsidP="00B6316D">
      <w:pPr>
        <w:pStyle w:val="4BidStylea"/>
        <w:tabs>
          <w:tab w:val="clear" w:pos="1080"/>
        </w:tabs>
        <w:rPr>
          <w:rFonts w:cs="Arial"/>
        </w:rPr>
      </w:pPr>
      <w:r w:rsidRPr="00767033">
        <w:rPr>
          <w:rFonts w:cs="Arial"/>
        </w:rPr>
        <w:t>Marshall stability and retained stability at design moisture and emulsion content.</w:t>
      </w:r>
    </w:p>
    <w:p w14:paraId="207B71E5" w14:textId="77777777" w:rsidR="00767033" w:rsidRPr="00767033" w:rsidRDefault="00767033" w:rsidP="00B6316D">
      <w:pPr>
        <w:pStyle w:val="4BidStylea"/>
        <w:tabs>
          <w:tab w:val="clear" w:pos="1080"/>
        </w:tabs>
        <w:rPr>
          <w:rFonts w:cs="Arial"/>
        </w:rPr>
      </w:pPr>
      <w:r w:rsidRPr="00767033">
        <w:rPr>
          <w:rFonts w:cs="Arial"/>
        </w:rPr>
        <w:t>The emulsion product name, manufacturer’s name, and plant location. Report the following asphalt properties:</w:t>
      </w:r>
    </w:p>
    <w:p w14:paraId="3ACD20A7" w14:textId="77777777" w:rsidR="00767033" w:rsidRPr="00767033" w:rsidRDefault="00767033" w:rsidP="00B6316D">
      <w:pPr>
        <w:pStyle w:val="Bullet-Text"/>
      </w:pPr>
      <w:r w:rsidRPr="00767033">
        <w:t>Residue from distillation, % (AASHTO T 59)</w:t>
      </w:r>
    </w:p>
    <w:p w14:paraId="6A6A84ED" w14:textId="77777777" w:rsidR="00767033" w:rsidRPr="00767033" w:rsidRDefault="00767033" w:rsidP="00B6316D">
      <w:pPr>
        <w:pStyle w:val="Bullet-Text"/>
      </w:pPr>
      <w:r w:rsidRPr="00767033">
        <w:t>Oil distillate by distillation, % (AASHTO T 59)</w:t>
      </w:r>
    </w:p>
    <w:p w14:paraId="137A6545" w14:textId="77777777" w:rsidR="00767033" w:rsidRPr="00767033" w:rsidRDefault="00767033" w:rsidP="00B6316D">
      <w:pPr>
        <w:pStyle w:val="Bullet-Text"/>
      </w:pPr>
      <w:r w:rsidRPr="00767033">
        <w:t>Sieve Test, % (AASHTO T 59)</w:t>
      </w:r>
    </w:p>
    <w:p w14:paraId="598BD47E" w14:textId="77777777" w:rsidR="00767033" w:rsidRPr="00767033" w:rsidRDefault="00767033" w:rsidP="00B6316D">
      <w:pPr>
        <w:pStyle w:val="Bullet-Text"/>
      </w:pPr>
      <w:r w:rsidRPr="00767033">
        <w:t>Penetration Range @ 77ºF (25°C), in (mm) (AASHTO T 49)</w:t>
      </w:r>
    </w:p>
    <w:p w14:paraId="6463CA1A" w14:textId="77777777" w:rsidR="00767033" w:rsidRPr="00767033" w:rsidRDefault="00767033" w:rsidP="00B6316D">
      <w:pPr>
        <w:pStyle w:val="4BidStylea"/>
        <w:tabs>
          <w:tab w:val="clear" w:pos="1080"/>
        </w:tabs>
        <w:rPr>
          <w:rFonts w:cs="Arial"/>
        </w:rPr>
      </w:pPr>
      <w:r w:rsidRPr="00767033">
        <w:rPr>
          <w:rFonts w:cs="Arial"/>
        </w:rPr>
        <w:t>Provide the type of mineral filler used and furnish a manufacturer’s certificate of compliance.</w:t>
      </w:r>
    </w:p>
    <w:p w14:paraId="634D2999" w14:textId="77777777" w:rsidR="00767033" w:rsidRPr="00767033" w:rsidRDefault="00767033" w:rsidP="00767033">
      <w:pPr>
        <w:rPr>
          <w:rFonts w:cs="Arial"/>
        </w:rPr>
      </w:pPr>
    </w:p>
    <w:p w14:paraId="1CDD89D5" w14:textId="77777777" w:rsidR="00FC1F95" w:rsidRPr="00767033" w:rsidRDefault="00FC1F95" w:rsidP="00767033"/>
    <w:sectPr w:rsidR="00FC1F95" w:rsidRPr="00767033"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2DF2"/>
    <w:rsid w:val="000853C1"/>
    <w:rsid w:val="0009341C"/>
    <w:rsid w:val="000D26F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C7890"/>
    <w:rsid w:val="003F3A47"/>
    <w:rsid w:val="004016E1"/>
    <w:rsid w:val="00403F81"/>
    <w:rsid w:val="00430ED8"/>
    <w:rsid w:val="0047483C"/>
    <w:rsid w:val="0047671E"/>
    <w:rsid w:val="004813F3"/>
    <w:rsid w:val="004852B0"/>
    <w:rsid w:val="004937C9"/>
    <w:rsid w:val="004A002E"/>
    <w:rsid w:val="004C709F"/>
    <w:rsid w:val="004E04CE"/>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67033"/>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0AAE"/>
    <w:rsid w:val="00AB740C"/>
    <w:rsid w:val="00AC1E2A"/>
    <w:rsid w:val="00AE660C"/>
    <w:rsid w:val="00B17917"/>
    <w:rsid w:val="00B4432E"/>
    <w:rsid w:val="00B6316D"/>
    <w:rsid w:val="00BE796C"/>
    <w:rsid w:val="00C45B84"/>
    <w:rsid w:val="00C62F47"/>
    <w:rsid w:val="00C70BBD"/>
    <w:rsid w:val="00C73EC2"/>
    <w:rsid w:val="00CA063D"/>
    <w:rsid w:val="00CA4019"/>
    <w:rsid w:val="00CC0D64"/>
    <w:rsid w:val="00CC4378"/>
    <w:rsid w:val="00CD4D68"/>
    <w:rsid w:val="00CF7273"/>
    <w:rsid w:val="00CF77A2"/>
    <w:rsid w:val="00D04036"/>
    <w:rsid w:val="00D3514E"/>
    <w:rsid w:val="00D435FE"/>
    <w:rsid w:val="00D757DE"/>
    <w:rsid w:val="00D7716C"/>
    <w:rsid w:val="00D80F5E"/>
    <w:rsid w:val="00D95187"/>
    <w:rsid w:val="00DA1891"/>
    <w:rsid w:val="00DA297B"/>
    <w:rsid w:val="00DA43F3"/>
    <w:rsid w:val="00DC1A22"/>
    <w:rsid w:val="00DF179D"/>
    <w:rsid w:val="00E00722"/>
    <w:rsid w:val="00E05F8A"/>
    <w:rsid w:val="00E27A90"/>
    <w:rsid w:val="00E27D62"/>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767033"/>
    <w:rPr>
      <w:rFonts w:eastAsiaTheme="minorHAnsi" w:cstheme="minorBidi"/>
    </w:rPr>
  </w:style>
  <w:style w:type="paragraph" w:styleId="Heading1">
    <w:name w:val="heading 1"/>
    <w:basedOn w:val="HeadingBase"/>
    <w:next w:val="Normal"/>
    <w:rsid w:val="00767033"/>
    <w:pPr>
      <w:numPr>
        <w:numId w:val="1"/>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767033"/>
    <w:pPr>
      <w:spacing w:line="240" w:lineRule="atLeast"/>
      <w:jc w:val="center"/>
      <w:outlineLvl w:val="1"/>
    </w:pPr>
    <w:rPr>
      <w:sz w:val="28"/>
    </w:rPr>
  </w:style>
  <w:style w:type="paragraph" w:styleId="Heading3">
    <w:name w:val="heading 3"/>
    <w:basedOn w:val="HeadingBase"/>
    <w:next w:val="BodyText"/>
    <w:rsid w:val="00767033"/>
    <w:pPr>
      <w:spacing w:after="240" w:line="240" w:lineRule="atLeast"/>
      <w:outlineLvl w:val="2"/>
    </w:pPr>
    <w:rPr>
      <w:rFonts w:ascii="Arial Black" w:hAnsi="Arial Black"/>
      <w:spacing w:val="-10"/>
    </w:rPr>
  </w:style>
  <w:style w:type="paragraph" w:styleId="Heading4">
    <w:name w:val="heading 4"/>
    <w:basedOn w:val="HeadingBase"/>
    <w:next w:val="BodyText"/>
    <w:rsid w:val="00767033"/>
    <w:pPr>
      <w:spacing w:after="240" w:line="240" w:lineRule="atLeast"/>
      <w:outlineLvl w:val="3"/>
    </w:pPr>
  </w:style>
  <w:style w:type="paragraph" w:styleId="Heading5">
    <w:name w:val="heading 5"/>
    <w:basedOn w:val="HeadingBase"/>
    <w:next w:val="BodyText"/>
    <w:rsid w:val="00767033"/>
    <w:pPr>
      <w:spacing w:line="240" w:lineRule="atLeast"/>
      <w:ind w:left="1440"/>
      <w:outlineLvl w:val="4"/>
    </w:pPr>
  </w:style>
  <w:style w:type="paragraph" w:styleId="Heading6">
    <w:name w:val="heading 6"/>
    <w:basedOn w:val="HeadingBase"/>
    <w:next w:val="BodyText"/>
    <w:rsid w:val="00767033"/>
    <w:pPr>
      <w:ind w:left="1440"/>
      <w:outlineLvl w:val="5"/>
    </w:pPr>
    <w:rPr>
      <w:i/>
    </w:rPr>
  </w:style>
  <w:style w:type="paragraph" w:styleId="Heading7">
    <w:name w:val="heading 7"/>
    <w:basedOn w:val="HeadingBase"/>
    <w:next w:val="BodyText"/>
    <w:rsid w:val="00767033"/>
    <w:pPr>
      <w:outlineLvl w:val="6"/>
    </w:pPr>
  </w:style>
  <w:style w:type="paragraph" w:styleId="Heading8">
    <w:name w:val="heading 8"/>
    <w:basedOn w:val="HeadingBase"/>
    <w:next w:val="BodyText"/>
    <w:rsid w:val="00767033"/>
    <w:pPr>
      <w:outlineLvl w:val="7"/>
    </w:pPr>
    <w:rPr>
      <w:i/>
      <w:sz w:val="18"/>
    </w:rPr>
  </w:style>
  <w:style w:type="paragraph" w:styleId="Heading9">
    <w:name w:val="heading 9"/>
    <w:basedOn w:val="HeadingBase"/>
    <w:next w:val="BodyText"/>
    <w:rsid w:val="00767033"/>
    <w:pPr>
      <w:outlineLvl w:val="8"/>
    </w:pPr>
    <w:rPr>
      <w:sz w:val="18"/>
    </w:rPr>
  </w:style>
  <w:style w:type="character" w:default="1" w:styleId="DefaultParagraphFont">
    <w:name w:val="Default Paragraph Font"/>
    <w:uiPriority w:val="1"/>
    <w:semiHidden/>
    <w:unhideWhenUsed/>
    <w:rsid w:val="007670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033"/>
  </w:style>
  <w:style w:type="paragraph" w:customStyle="1" w:styleId="Mini-Lt">
    <w:name w:val="Mini-Lt"/>
    <w:basedOn w:val="Normal"/>
    <w:autoRedefine/>
    <w:rsid w:val="00767033"/>
    <w:rPr>
      <w:sz w:val="18"/>
    </w:rPr>
  </w:style>
  <w:style w:type="paragraph" w:customStyle="1" w:styleId="MiniHeading">
    <w:name w:val="Mini Heading"/>
    <w:basedOn w:val="Normal"/>
    <w:rsid w:val="00767033"/>
    <w:rPr>
      <w:b/>
      <w:sz w:val="18"/>
      <w:u w:val="single"/>
    </w:rPr>
  </w:style>
  <w:style w:type="paragraph" w:customStyle="1" w:styleId="DeedInserts">
    <w:name w:val="Deed Inserts"/>
    <w:basedOn w:val="Normal"/>
    <w:rsid w:val="00767033"/>
    <w:pPr>
      <w:suppressAutoHyphens/>
    </w:pPr>
    <w:rPr>
      <w:sz w:val="24"/>
    </w:rPr>
  </w:style>
  <w:style w:type="paragraph" w:customStyle="1" w:styleId="PayPlanTable">
    <w:name w:val="PayPlanTable"/>
    <w:basedOn w:val="Normal"/>
    <w:rsid w:val="00767033"/>
    <w:pPr>
      <w:jc w:val="center"/>
    </w:pPr>
    <w:rPr>
      <w:b/>
      <w:sz w:val="18"/>
    </w:rPr>
  </w:style>
  <w:style w:type="paragraph" w:customStyle="1" w:styleId="14PtHeader">
    <w:name w:val="14 Pt Header"/>
    <w:basedOn w:val="Normal"/>
    <w:rsid w:val="00767033"/>
    <w:pPr>
      <w:jc w:val="center"/>
    </w:pPr>
    <w:rPr>
      <w:b/>
      <w:sz w:val="28"/>
    </w:rPr>
  </w:style>
  <w:style w:type="paragraph" w:customStyle="1" w:styleId="12PtHeader">
    <w:name w:val="12 Pt Header"/>
    <w:basedOn w:val="Normal"/>
    <w:rsid w:val="00767033"/>
    <w:pPr>
      <w:jc w:val="center"/>
    </w:pPr>
    <w:rPr>
      <w:b/>
      <w:sz w:val="24"/>
    </w:rPr>
  </w:style>
  <w:style w:type="paragraph" w:customStyle="1" w:styleId="11PtHeader">
    <w:name w:val="11Pt Header"/>
    <w:basedOn w:val="Normal"/>
    <w:rsid w:val="00767033"/>
    <w:pPr>
      <w:jc w:val="center"/>
    </w:pPr>
    <w:rPr>
      <w:b/>
    </w:rPr>
  </w:style>
  <w:style w:type="paragraph" w:customStyle="1" w:styleId="Heading-Main">
    <w:name w:val="Heading-Main"/>
    <w:basedOn w:val="Normal"/>
    <w:rsid w:val="00767033"/>
    <w:pPr>
      <w:tabs>
        <w:tab w:val="num" w:pos="360"/>
      </w:tabs>
    </w:pPr>
    <w:rPr>
      <w:u w:val="single"/>
    </w:rPr>
  </w:style>
  <w:style w:type="paragraph" w:styleId="Header">
    <w:name w:val="header"/>
    <w:basedOn w:val="Normal"/>
    <w:link w:val="HeaderChar"/>
    <w:rsid w:val="00767033"/>
    <w:pPr>
      <w:tabs>
        <w:tab w:val="center" w:pos="4320"/>
        <w:tab w:val="right" w:pos="8640"/>
      </w:tabs>
    </w:pPr>
  </w:style>
  <w:style w:type="paragraph" w:styleId="Footer">
    <w:name w:val="footer"/>
    <w:basedOn w:val="Normal"/>
    <w:rsid w:val="00767033"/>
    <w:pPr>
      <w:keepLines/>
      <w:tabs>
        <w:tab w:val="center" w:pos="4320"/>
        <w:tab w:val="right" w:pos="8640"/>
      </w:tabs>
      <w:spacing w:line="190" w:lineRule="atLeast"/>
    </w:pPr>
    <w:rPr>
      <w:caps/>
      <w:sz w:val="16"/>
    </w:rPr>
  </w:style>
  <w:style w:type="character" w:styleId="PageNumber">
    <w:name w:val="page number"/>
    <w:basedOn w:val="DefaultParagraphFont"/>
    <w:rsid w:val="00767033"/>
  </w:style>
  <w:style w:type="paragraph" w:styleId="BodyText">
    <w:name w:val="Body Text"/>
    <w:basedOn w:val="Normal"/>
    <w:rsid w:val="00767033"/>
    <w:pPr>
      <w:spacing w:line="240" w:lineRule="atLeast"/>
    </w:pPr>
  </w:style>
  <w:style w:type="paragraph" w:styleId="BodyTextFirstIndent">
    <w:name w:val="Body Text First Indent"/>
    <w:aliases w:val="BidB Body Text First Indent"/>
    <w:basedOn w:val="BodyText"/>
    <w:link w:val="BodyTextFirstIndentChar"/>
    <w:autoRedefine/>
    <w:qFormat/>
    <w:rsid w:val="00B17917"/>
    <w:pPr>
      <w:spacing w:line="240" w:lineRule="auto"/>
      <w:ind w:firstLine="720"/>
    </w:pPr>
  </w:style>
  <w:style w:type="paragraph" w:customStyle="1" w:styleId="1BidStyleLevel1">
    <w:name w:val="1Bid Style Level 1."/>
    <w:basedOn w:val="Normal"/>
    <w:autoRedefine/>
    <w:qFormat/>
    <w:rsid w:val="00767033"/>
    <w:pPr>
      <w:numPr>
        <w:numId w:val="3"/>
      </w:numPr>
      <w:tabs>
        <w:tab w:val="clear" w:pos="360"/>
        <w:tab w:val="left" w:pos="720"/>
      </w:tabs>
    </w:pPr>
    <w:rPr>
      <w:caps/>
      <w:u w:val="single"/>
    </w:rPr>
  </w:style>
  <w:style w:type="paragraph" w:customStyle="1" w:styleId="Level2">
    <w:name w:val="Level 2"/>
    <w:basedOn w:val="Normal"/>
    <w:rsid w:val="00767033"/>
    <w:pPr>
      <w:numPr>
        <w:ilvl w:val="1"/>
        <w:numId w:val="3"/>
      </w:numPr>
    </w:pPr>
  </w:style>
  <w:style w:type="paragraph" w:customStyle="1" w:styleId="Level3">
    <w:name w:val="Level 3"/>
    <w:basedOn w:val="Normal"/>
    <w:rsid w:val="00767033"/>
    <w:pPr>
      <w:numPr>
        <w:ilvl w:val="2"/>
        <w:numId w:val="3"/>
      </w:numPr>
    </w:pPr>
  </w:style>
  <w:style w:type="paragraph" w:customStyle="1" w:styleId="Level4">
    <w:name w:val="Level 4"/>
    <w:basedOn w:val="Normal"/>
    <w:rsid w:val="00767033"/>
    <w:pPr>
      <w:numPr>
        <w:ilvl w:val="3"/>
        <w:numId w:val="3"/>
      </w:numPr>
    </w:pPr>
  </w:style>
  <w:style w:type="paragraph" w:customStyle="1" w:styleId="Level5">
    <w:name w:val="Level 5"/>
    <w:basedOn w:val="Normal"/>
    <w:rsid w:val="00767033"/>
    <w:pPr>
      <w:numPr>
        <w:ilvl w:val="4"/>
        <w:numId w:val="3"/>
      </w:numPr>
    </w:pPr>
  </w:style>
  <w:style w:type="paragraph" w:customStyle="1" w:styleId="Level6">
    <w:name w:val="Level 6"/>
    <w:basedOn w:val="Normal"/>
    <w:rsid w:val="00767033"/>
    <w:pPr>
      <w:numPr>
        <w:ilvl w:val="5"/>
        <w:numId w:val="3"/>
      </w:numPr>
    </w:pPr>
  </w:style>
  <w:style w:type="paragraph" w:customStyle="1" w:styleId="Level7">
    <w:name w:val="Level 7"/>
    <w:basedOn w:val="Normal"/>
    <w:rsid w:val="00767033"/>
    <w:pPr>
      <w:numPr>
        <w:ilvl w:val="6"/>
        <w:numId w:val="3"/>
      </w:numPr>
    </w:pPr>
  </w:style>
  <w:style w:type="paragraph" w:customStyle="1" w:styleId="Level2-ParaIndent">
    <w:name w:val="Level 2 - Para Indent"/>
    <w:basedOn w:val="Normal"/>
    <w:rsid w:val="00767033"/>
    <w:pPr>
      <w:ind w:firstLine="1440"/>
    </w:pPr>
  </w:style>
  <w:style w:type="paragraph" w:customStyle="1" w:styleId="Level3-ParaIndent">
    <w:name w:val="Level 3 - Para Indent"/>
    <w:basedOn w:val="Normal"/>
    <w:rsid w:val="00767033"/>
    <w:pPr>
      <w:ind w:firstLine="2160"/>
    </w:pPr>
  </w:style>
  <w:style w:type="paragraph" w:customStyle="1" w:styleId="HeadingBase">
    <w:name w:val="Heading Base"/>
    <w:basedOn w:val="Normal"/>
    <w:next w:val="BodyText"/>
    <w:rsid w:val="00767033"/>
    <w:pPr>
      <w:spacing w:line="220" w:lineRule="atLeast"/>
    </w:pPr>
    <w:rPr>
      <w:kern w:val="28"/>
    </w:rPr>
  </w:style>
  <w:style w:type="paragraph" w:customStyle="1" w:styleId="TOCBase">
    <w:name w:val="TOC Base"/>
    <w:basedOn w:val="Normal"/>
    <w:rsid w:val="00767033"/>
    <w:pPr>
      <w:spacing w:after="240" w:line="240" w:lineRule="atLeast"/>
    </w:pPr>
  </w:style>
  <w:style w:type="paragraph" w:styleId="TOC1">
    <w:name w:val="toc 1"/>
    <w:basedOn w:val="TOCBase"/>
    <w:autoRedefine/>
    <w:uiPriority w:val="39"/>
    <w:rsid w:val="00767033"/>
    <w:pPr>
      <w:spacing w:before="120" w:after="120" w:line="240" w:lineRule="auto"/>
    </w:pPr>
    <w:rPr>
      <w:bCs/>
      <w:caps/>
    </w:rPr>
  </w:style>
  <w:style w:type="paragraph" w:customStyle="1" w:styleId="CPSTDName">
    <w:name w:val="CP STD Name"/>
    <w:basedOn w:val="Normal"/>
    <w:rsid w:val="00767033"/>
    <w:pPr>
      <w:jc w:val="right"/>
    </w:pPr>
  </w:style>
  <w:style w:type="paragraph" w:customStyle="1" w:styleId="HDG1">
    <w:name w:val="HDG 1"/>
    <w:basedOn w:val="HeadingBase"/>
    <w:rsid w:val="00767033"/>
    <w:pPr>
      <w:jc w:val="center"/>
    </w:pPr>
    <w:rPr>
      <w:sz w:val="28"/>
    </w:rPr>
  </w:style>
  <w:style w:type="paragraph" w:customStyle="1" w:styleId="BacksHeading2">
    <w:name w:val="Backs Heading 2"/>
    <w:basedOn w:val="Normal"/>
    <w:rsid w:val="00767033"/>
    <w:pPr>
      <w:tabs>
        <w:tab w:val="left" w:pos="6480"/>
        <w:tab w:val="right" w:pos="9540"/>
      </w:tabs>
      <w:spacing w:after="120"/>
    </w:pPr>
    <w:rPr>
      <w:u w:val="single"/>
    </w:rPr>
  </w:style>
  <w:style w:type="paragraph" w:styleId="BodyTextIndent">
    <w:name w:val="Body Text Indent"/>
    <w:basedOn w:val="BodyText"/>
    <w:rsid w:val="00767033"/>
    <w:pPr>
      <w:ind w:left="1440"/>
    </w:pPr>
  </w:style>
  <w:style w:type="paragraph" w:customStyle="1" w:styleId="Level5-ParaIndent">
    <w:name w:val="Level 5 - Para Indent"/>
    <w:basedOn w:val="Level4-ParaIndent"/>
    <w:rsid w:val="00767033"/>
    <w:pPr>
      <w:ind w:firstLine="3600"/>
    </w:pPr>
  </w:style>
  <w:style w:type="paragraph" w:customStyle="1" w:styleId="Level2-Bullet">
    <w:name w:val="Level 2 - Bullet"/>
    <w:basedOn w:val="Normal"/>
    <w:rsid w:val="00767033"/>
    <w:pPr>
      <w:tabs>
        <w:tab w:val="num" w:pos="1800"/>
      </w:tabs>
      <w:ind w:firstLine="1440"/>
    </w:pPr>
  </w:style>
  <w:style w:type="paragraph" w:customStyle="1" w:styleId="Level3-Bullet">
    <w:name w:val="Level 3 - Bullet"/>
    <w:basedOn w:val="Normal"/>
    <w:rsid w:val="00767033"/>
    <w:pPr>
      <w:tabs>
        <w:tab w:val="num" w:pos="2520"/>
      </w:tabs>
      <w:ind w:firstLine="2160"/>
    </w:pPr>
  </w:style>
  <w:style w:type="paragraph" w:customStyle="1" w:styleId="Level4-ParaIndent">
    <w:name w:val="Level 4 - Para Indent"/>
    <w:basedOn w:val="Normal"/>
    <w:rsid w:val="00767033"/>
    <w:pPr>
      <w:ind w:firstLine="2880"/>
    </w:pPr>
  </w:style>
  <w:style w:type="paragraph" w:customStyle="1" w:styleId="Level4-Bullet">
    <w:name w:val="Level 4 - Bullet"/>
    <w:basedOn w:val="Normal"/>
    <w:rsid w:val="00767033"/>
    <w:pPr>
      <w:tabs>
        <w:tab w:val="num" w:pos="3240"/>
      </w:tabs>
      <w:ind w:firstLine="2880"/>
    </w:pPr>
  </w:style>
  <w:style w:type="paragraph" w:styleId="TOC2">
    <w:name w:val="toc 2"/>
    <w:aliases w:val="BR201 Title"/>
    <w:basedOn w:val="Normal"/>
    <w:next w:val="Normal"/>
    <w:autoRedefine/>
    <w:uiPriority w:val="39"/>
    <w:rsid w:val="00767033"/>
    <w:pPr>
      <w:ind w:left="220"/>
    </w:pPr>
    <w:rPr>
      <w:rFonts w:asciiTheme="minorHAnsi" w:hAnsiTheme="minorHAnsi"/>
      <w:smallCaps/>
    </w:rPr>
  </w:style>
  <w:style w:type="paragraph" w:customStyle="1" w:styleId="Level6-ParaIndent">
    <w:name w:val="Level 6 - Para Indent"/>
    <w:basedOn w:val="Level6"/>
    <w:rsid w:val="00767033"/>
    <w:pPr>
      <w:numPr>
        <w:ilvl w:val="0"/>
        <w:numId w:val="0"/>
      </w:numPr>
      <w:ind w:firstLine="4320"/>
    </w:pPr>
  </w:style>
  <w:style w:type="paragraph" w:customStyle="1" w:styleId="Level7-ParaIndent">
    <w:name w:val="Level 7 - Para Indent"/>
    <w:basedOn w:val="Level7"/>
    <w:rsid w:val="00767033"/>
    <w:pPr>
      <w:numPr>
        <w:ilvl w:val="0"/>
        <w:numId w:val="0"/>
      </w:numPr>
      <w:ind w:firstLine="5040"/>
    </w:pPr>
  </w:style>
  <w:style w:type="paragraph" w:customStyle="1" w:styleId="Bullet-Text">
    <w:name w:val="Bullet - Text"/>
    <w:basedOn w:val="Normal"/>
    <w:autoRedefine/>
    <w:qFormat/>
    <w:rsid w:val="00767033"/>
    <w:pPr>
      <w:numPr>
        <w:numId w:val="2"/>
      </w:numPr>
      <w:tabs>
        <w:tab w:val="clear" w:pos="1800"/>
        <w:tab w:val="left" w:pos="720"/>
      </w:tabs>
    </w:pPr>
  </w:style>
  <w:style w:type="paragraph" w:styleId="TOC3">
    <w:name w:val="toc 3"/>
    <w:basedOn w:val="Normal"/>
    <w:next w:val="Normal"/>
    <w:autoRedefine/>
    <w:uiPriority w:val="39"/>
    <w:semiHidden/>
    <w:qFormat/>
    <w:rsid w:val="00767033"/>
    <w:pPr>
      <w:ind w:left="440"/>
    </w:pPr>
    <w:rPr>
      <w:rFonts w:asciiTheme="minorHAnsi" w:hAnsiTheme="minorHAnsi"/>
      <w:i/>
      <w:iCs/>
    </w:rPr>
  </w:style>
  <w:style w:type="paragraph" w:styleId="TOC4">
    <w:name w:val="toc 4"/>
    <w:basedOn w:val="Normal"/>
    <w:next w:val="Normal"/>
    <w:autoRedefine/>
    <w:semiHidden/>
    <w:rsid w:val="00767033"/>
    <w:pPr>
      <w:ind w:left="660"/>
    </w:pPr>
    <w:rPr>
      <w:rFonts w:asciiTheme="minorHAnsi" w:hAnsiTheme="minorHAnsi"/>
      <w:sz w:val="18"/>
      <w:szCs w:val="18"/>
    </w:rPr>
  </w:style>
  <w:style w:type="paragraph" w:styleId="TOC5">
    <w:name w:val="toc 5"/>
    <w:basedOn w:val="Normal"/>
    <w:next w:val="Normal"/>
    <w:autoRedefine/>
    <w:semiHidden/>
    <w:rsid w:val="00767033"/>
    <w:pPr>
      <w:ind w:left="880"/>
    </w:pPr>
    <w:rPr>
      <w:rFonts w:asciiTheme="minorHAnsi" w:hAnsiTheme="minorHAnsi"/>
      <w:sz w:val="18"/>
      <w:szCs w:val="18"/>
    </w:rPr>
  </w:style>
  <w:style w:type="paragraph" w:styleId="TOC6">
    <w:name w:val="toc 6"/>
    <w:basedOn w:val="Normal"/>
    <w:next w:val="Normal"/>
    <w:autoRedefine/>
    <w:semiHidden/>
    <w:rsid w:val="00767033"/>
    <w:pPr>
      <w:ind w:left="1100"/>
    </w:pPr>
    <w:rPr>
      <w:rFonts w:asciiTheme="minorHAnsi" w:hAnsiTheme="minorHAnsi"/>
      <w:sz w:val="18"/>
      <w:szCs w:val="18"/>
    </w:rPr>
  </w:style>
  <w:style w:type="paragraph" w:styleId="TOC7">
    <w:name w:val="toc 7"/>
    <w:basedOn w:val="Normal"/>
    <w:next w:val="Normal"/>
    <w:autoRedefine/>
    <w:semiHidden/>
    <w:rsid w:val="00767033"/>
    <w:pPr>
      <w:ind w:left="1320"/>
    </w:pPr>
    <w:rPr>
      <w:rFonts w:asciiTheme="minorHAnsi" w:hAnsiTheme="minorHAnsi"/>
      <w:sz w:val="18"/>
      <w:szCs w:val="18"/>
    </w:rPr>
  </w:style>
  <w:style w:type="paragraph" w:styleId="TOC8">
    <w:name w:val="toc 8"/>
    <w:basedOn w:val="Normal"/>
    <w:next w:val="Normal"/>
    <w:autoRedefine/>
    <w:semiHidden/>
    <w:rsid w:val="00767033"/>
    <w:pPr>
      <w:ind w:left="1540"/>
    </w:pPr>
    <w:rPr>
      <w:rFonts w:asciiTheme="minorHAnsi" w:hAnsiTheme="minorHAnsi"/>
      <w:sz w:val="18"/>
      <w:szCs w:val="18"/>
    </w:rPr>
  </w:style>
  <w:style w:type="paragraph" w:styleId="TOC9">
    <w:name w:val="toc 9"/>
    <w:basedOn w:val="Normal"/>
    <w:next w:val="Normal"/>
    <w:autoRedefine/>
    <w:semiHidden/>
    <w:rsid w:val="00767033"/>
    <w:pPr>
      <w:ind w:left="1760"/>
    </w:pPr>
    <w:rPr>
      <w:rFonts w:asciiTheme="minorHAnsi" w:hAnsiTheme="minorHAnsi"/>
      <w:sz w:val="18"/>
      <w:szCs w:val="18"/>
    </w:rPr>
  </w:style>
  <w:style w:type="character" w:styleId="Hyperlink">
    <w:name w:val="Hyperlink"/>
    <w:basedOn w:val="DefaultParagraphFont"/>
    <w:uiPriority w:val="99"/>
    <w:rsid w:val="00767033"/>
    <w:rPr>
      <w:color w:val="0000FF"/>
      <w:u w:val="single"/>
    </w:rPr>
  </w:style>
  <w:style w:type="character" w:customStyle="1" w:styleId="BodyTextFirstIndentChar">
    <w:name w:val="Body Text First Indent Char"/>
    <w:aliases w:val="BidB Body Text First Indent Char"/>
    <w:basedOn w:val="DefaultParagraphFont"/>
    <w:link w:val="BodyTextFirstIndent"/>
    <w:rsid w:val="00B17917"/>
    <w:rPr>
      <w:rFonts w:eastAsiaTheme="minorHAnsi" w:cstheme="minorBidi"/>
    </w:rPr>
  </w:style>
  <w:style w:type="paragraph" w:customStyle="1" w:styleId="1BidStyle1">
    <w:name w:val="1Bid Style 1."/>
    <w:basedOn w:val="1BidStyleLevel1"/>
    <w:rsid w:val="00767033"/>
  </w:style>
  <w:style w:type="paragraph" w:customStyle="1" w:styleId="2BidStyleA">
    <w:name w:val="2Bid Style A."/>
    <w:basedOn w:val="Level2"/>
    <w:autoRedefine/>
    <w:qFormat/>
    <w:rsid w:val="00767033"/>
    <w:pPr>
      <w:tabs>
        <w:tab w:val="clear" w:pos="1080"/>
      </w:tabs>
    </w:pPr>
  </w:style>
  <w:style w:type="paragraph" w:customStyle="1" w:styleId="3BidStyle1">
    <w:name w:val="3Bid Style 1)"/>
    <w:basedOn w:val="Level3"/>
    <w:autoRedefine/>
    <w:qFormat/>
    <w:rsid w:val="00767033"/>
  </w:style>
  <w:style w:type="paragraph" w:customStyle="1" w:styleId="4BidStylea">
    <w:name w:val="4Bid Style a)"/>
    <w:basedOn w:val="Level4"/>
    <w:autoRedefine/>
    <w:qFormat/>
    <w:rsid w:val="00767033"/>
    <w:pPr>
      <w:tabs>
        <w:tab w:val="left" w:pos="720"/>
      </w:tabs>
    </w:pPr>
  </w:style>
  <w:style w:type="paragraph" w:customStyle="1" w:styleId="5BidStyle1">
    <w:name w:val="5Bid Style (1)"/>
    <w:basedOn w:val="Level5"/>
    <w:autoRedefine/>
    <w:qFormat/>
    <w:rsid w:val="00767033"/>
    <w:pPr>
      <w:tabs>
        <w:tab w:val="clear" w:pos="1080"/>
        <w:tab w:val="left" w:pos="720"/>
      </w:tabs>
    </w:pPr>
  </w:style>
  <w:style w:type="paragraph" w:customStyle="1" w:styleId="6BidStylea">
    <w:name w:val="6Bid Style (a)"/>
    <w:basedOn w:val="Level6"/>
    <w:autoRedefine/>
    <w:qFormat/>
    <w:rsid w:val="00767033"/>
    <w:pPr>
      <w:tabs>
        <w:tab w:val="clear" w:pos="1080"/>
        <w:tab w:val="left" w:pos="720"/>
      </w:tabs>
    </w:pPr>
  </w:style>
  <w:style w:type="paragraph" w:customStyle="1" w:styleId="7BidStylei">
    <w:name w:val="7Bid Style i)"/>
    <w:basedOn w:val="Level7"/>
    <w:autoRedefine/>
    <w:qFormat/>
    <w:rsid w:val="00767033"/>
  </w:style>
  <w:style w:type="paragraph" w:styleId="TOCHeading">
    <w:name w:val="TOC Heading"/>
    <w:basedOn w:val="Heading1"/>
    <w:next w:val="Normal"/>
    <w:uiPriority w:val="39"/>
    <w:semiHidden/>
    <w:unhideWhenUsed/>
    <w:qFormat/>
    <w:rsid w:val="00767033"/>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767033"/>
    <w:rPr>
      <w:rFonts w:ascii="Tahoma" w:hAnsi="Tahoma" w:cs="Tahoma"/>
      <w:sz w:val="16"/>
      <w:szCs w:val="16"/>
    </w:rPr>
  </w:style>
  <w:style w:type="character" w:customStyle="1" w:styleId="BalloonTextChar">
    <w:name w:val="Balloon Text Char"/>
    <w:basedOn w:val="DefaultParagraphFont"/>
    <w:link w:val="BalloonText"/>
    <w:rsid w:val="00767033"/>
    <w:rPr>
      <w:rFonts w:ascii="Tahoma" w:eastAsiaTheme="minorHAnsi" w:hAnsi="Tahoma" w:cs="Tahoma"/>
      <w:sz w:val="16"/>
      <w:szCs w:val="16"/>
    </w:rPr>
  </w:style>
  <w:style w:type="character" w:styleId="PlaceholderText">
    <w:name w:val="Placeholder Text"/>
    <w:basedOn w:val="DefaultParagraphFont"/>
    <w:uiPriority w:val="99"/>
    <w:semiHidden/>
    <w:rsid w:val="00767033"/>
    <w:rPr>
      <w:color w:val="808080"/>
    </w:rPr>
  </w:style>
  <w:style w:type="character" w:customStyle="1" w:styleId="HeaderChar">
    <w:name w:val="Header Char"/>
    <w:basedOn w:val="DefaultParagraphFont"/>
    <w:link w:val="Header"/>
    <w:rsid w:val="00767033"/>
    <w:rPr>
      <w:rFonts w:eastAsiaTheme="minorHAnsi" w:cstheme="minorBidi"/>
    </w:rPr>
  </w:style>
  <w:style w:type="paragraph" w:styleId="ListParagraph">
    <w:name w:val="List Paragraph"/>
    <w:basedOn w:val="Normal"/>
    <w:uiPriority w:val="34"/>
    <w:rsid w:val="00767033"/>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767033"/>
    <w:rPr>
      <w:rFonts w:ascii="Arial" w:hAnsi="Arial"/>
      <w:sz w:val="22"/>
    </w:rPr>
  </w:style>
  <w:style w:type="character" w:customStyle="1" w:styleId="Style8">
    <w:name w:val="Style8"/>
    <w:basedOn w:val="DefaultParagraphFont"/>
    <w:uiPriority w:val="1"/>
    <w:rsid w:val="00767033"/>
    <w:rPr>
      <w:rFonts w:ascii="Arial" w:hAnsi="Arial"/>
      <w:sz w:val="22"/>
    </w:rPr>
  </w:style>
  <w:style w:type="character" w:customStyle="1" w:styleId="Style11">
    <w:name w:val="Style11"/>
    <w:basedOn w:val="DefaultParagraphFont"/>
    <w:uiPriority w:val="1"/>
    <w:rsid w:val="00767033"/>
    <w:rPr>
      <w:rFonts w:ascii="Arial" w:hAnsi="Arial"/>
      <w:sz w:val="22"/>
    </w:rPr>
  </w:style>
  <w:style w:type="character" w:customStyle="1" w:styleId="Style14">
    <w:name w:val="Style14"/>
    <w:basedOn w:val="DefaultParagraphFont"/>
    <w:uiPriority w:val="1"/>
    <w:rsid w:val="00767033"/>
    <w:rPr>
      <w:rFonts w:ascii="Arial" w:hAnsi="Arial"/>
      <w:b/>
      <w:sz w:val="22"/>
    </w:rPr>
  </w:style>
  <w:style w:type="character" w:customStyle="1" w:styleId="Style16">
    <w:name w:val="Style16"/>
    <w:basedOn w:val="DefaultParagraphFont"/>
    <w:uiPriority w:val="1"/>
    <w:rsid w:val="00767033"/>
    <w:rPr>
      <w:rFonts w:ascii="Arial" w:hAnsi="Arial"/>
      <w:b/>
      <w:sz w:val="28"/>
    </w:rPr>
  </w:style>
  <w:style w:type="character" w:customStyle="1" w:styleId="Style17">
    <w:name w:val="Style17"/>
    <w:basedOn w:val="DefaultParagraphFont"/>
    <w:uiPriority w:val="1"/>
    <w:rsid w:val="00767033"/>
    <w:rPr>
      <w:rFonts w:ascii="Arial" w:hAnsi="Arial"/>
      <w:b/>
      <w:sz w:val="28"/>
    </w:rPr>
  </w:style>
  <w:style w:type="character" w:customStyle="1" w:styleId="Style18">
    <w:name w:val="Style18"/>
    <w:basedOn w:val="DefaultParagraphFont"/>
    <w:uiPriority w:val="1"/>
    <w:rsid w:val="00767033"/>
    <w:rPr>
      <w:rFonts w:ascii="Arial" w:hAnsi="Arial"/>
      <w:sz w:val="22"/>
    </w:rPr>
  </w:style>
  <w:style w:type="character" w:customStyle="1" w:styleId="Style19">
    <w:name w:val="Style19"/>
    <w:basedOn w:val="DefaultParagraphFont"/>
    <w:uiPriority w:val="1"/>
    <w:rsid w:val="00767033"/>
    <w:rPr>
      <w:rFonts w:ascii="Arial" w:hAnsi="Arial"/>
      <w:sz w:val="22"/>
    </w:rPr>
  </w:style>
  <w:style w:type="character" w:customStyle="1" w:styleId="Style22">
    <w:name w:val="Style22"/>
    <w:basedOn w:val="DefaultParagraphFont"/>
    <w:uiPriority w:val="1"/>
    <w:rsid w:val="00767033"/>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4E04CE"/>
    <w:pPr>
      <w:spacing w:after="120" w:line="480" w:lineRule="auto"/>
    </w:pPr>
  </w:style>
  <w:style w:type="character" w:customStyle="1" w:styleId="BodyText2Char">
    <w:name w:val="Body Text 2 Char"/>
    <w:basedOn w:val="DefaultParagraphFont"/>
    <w:link w:val="BodyText2"/>
    <w:semiHidden/>
    <w:rsid w:val="004E04CE"/>
    <w:rPr>
      <w:rFonts w:eastAsiaTheme="minorHAnsi" w:cstheme="minorBidi"/>
    </w:rPr>
  </w:style>
  <w:style w:type="table" w:customStyle="1" w:styleId="TableGrid12">
    <w:name w:val="Table Grid12"/>
    <w:basedOn w:val="TableNormal"/>
    <w:next w:val="TableGrid"/>
    <w:rsid w:val="00B4432E"/>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8</TotalTime>
  <Pages>4</Pages>
  <Words>1658</Words>
  <Characters>8467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10105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4</cp:revision>
  <cp:lastPrinted>1999-11-10T15:48:00Z</cp:lastPrinted>
  <dcterms:created xsi:type="dcterms:W3CDTF">2020-07-06T14:17:00Z</dcterms:created>
  <dcterms:modified xsi:type="dcterms:W3CDTF">2020-07-06T14:24:00Z</dcterms:modified>
</cp:coreProperties>
</file>